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4B3F78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4D3A2B">
        <w:rPr>
          <w:rFonts w:ascii="Arial Narrow" w:hAnsi="Arial Narrow"/>
        </w:rPr>
        <w:t>26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FB14F5">
        <w:rPr>
          <w:rFonts w:ascii="Arial Narrow" w:hAnsi="Arial Narrow"/>
        </w:rPr>
        <w:t>30</w:t>
      </w:r>
      <w:r w:rsidRPr="00F625B5">
        <w:rPr>
          <w:rFonts w:ascii="Arial Narrow" w:hAnsi="Arial Narrow"/>
        </w:rPr>
        <w:t xml:space="preserve"> de </w:t>
      </w:r>
      <w:r w:rsidR="004B3F78">
        <w:rPr>
          <w:rFonts w:ascii="Arial Narrow" w:hAnsi="Arial Narrow"/>
        </w:rPr>
        <w:t>abril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proofErr w:type="spellStart"/>
      <w:r w:rsidRPr="00F625B5">
        <w:rPr>
          <w:rFonts w:ascii="Arial Narrow" w:hAnsi="Arial Narrow"/>
        </w:rPr>
        <w:t>Charqueadas-RS</w:t>
      </w:r>
      <w:proofErr w:type="spellEnd"/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4D3A2B">
        <w:rPr>
          <w:rFonts w:ascii="Arial Narrow" w:eastAsia="Arial Unicode MS" w:hAnsi="Arial Narrow"/>
          <w:b/>
        </w:rPr>
        <w:t>26</w:t>
      </w:r>
      <w:r w:rsidRPr="00F625B5">
        <w:rPr>
          <w:rFonts w:ascii="Arial Narrow" w:eastAsia="Arial Unicode MS" w:hAnsi="Arial Narrow"/>
          <w:b/>
        </w:rPr>
        <w:t>/1</w:t>
      </w:r>
      <w:r w:rsidR="005A004D">
        <w:rPr>
          <w:rFonts w:ascii="Arial Narrow" w:eastAsia="Arial Unicode MS" w:hAnsi="Arial Narrow"/>
          <w:b/>
        </w:rPr>
        <w:t>9</w:t>
      </w:r>
      <w:r w:rsidR="00425F71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2C659D" w:rsidRDefault="002C659D" w:rsidP="009C00CE">
      <w:pPr>
        <w:spacing w:line="360" w:lineRule="auto"/>
        <w:jc w:val="both"/>
        <w:rPr>
          <w:rFonts w:ascii="Arial Narrow" w:hAnsi="Arial Narrow"/>
        </w:rPr>
      </w:pPr>
    </w:p>
    <w:p w:rsidR="005212B7" w:rsidRDefault="005212B7" w:rsidP="002C659D">
      <w:pPr>
        <w:spacing w:line="360" w:lineRule="auto"/>
        <w:ind w:firstLine="1418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3949CA" w:rsidRPr="003D177A" w:rsidRDefault="003949CA" w:rsidP="002C659D">
      <w:pPr>
        <w:spacing w:line="360" w:lineRule="auto"/>
        <w:ind w:firstLine="1418"/>
        <w:jc w:val="both"/>
        <w:rPr>
          <w:rFonts w:ascii="Arial Narrow" w:hAnsi="Arial Narrow"/>
        </w:rPr>
      </w:pPr>
    </w:p>
    <w:p w:rsidR="005212B7" w:rsidRDefault="005212B7" w:rsidP="00FB14F5">
      <w:pPr>
        <w:pStyle w:val="Default"/>
        <w:ind w:firstLine="1418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376193">
        <w:rPr>
          <w:rFonts w:ascii="Arial Narrow" w:hAnsi="Arial Narrow"/>
          <w:b/>
          <w:bCs/>
        </w:rPr>
        <w:t>26</w:t>
      </w:r>
      <w:r w:rsidRPr="00E11351">
        <w:rPr>
          <w:rFonts w:ascii="Arial Narrow" w:hAnsi="Arial Narrow"/>
          <w:b/>
          <w:bCs/>
        </w:rPr>
        <w:t>/1</w:t>
      </w:r>
      <w:r w:rsidR="005A004D">
        <w:rPr>
          <w:rFonts w:ascii="Arial Narrow" w:hAnsi="Arial Narrow"/>
          <w:b/>
          <w:bCs/>
        </w:rPr>
        <w:t>9</w:t>
      </w:r>
      <w:r w:rsidR="004B3F78">
        <w:rPr>
          <w:rFonts w:ascii="Arial Narrow" w:hAnsi="Arial Narrow"/>
          <w:b/>
          <w:bCs/>
        </w:rPr>
        <w:t xml:space="preserve"> </w:t>
      </w:r>
      <w:r w:rsidRPr="00E11351">
        <w:rPr>
          <w:rFonts w:ascii="Arial Narrow" w:hAnsi="Arial Narrow"/>
        </w:rPr>
        <w:t>que “</w:t>
      </w:r>
      <w:r w:rsidR="00FB14F5" w:rsidRPr="00FB14F5">
        <w:rPr>
          <w:rFonts w:ascii="Arial Narrow" w:hAnsi="Arial Narrow"/>
          <w:bCs/>
        </w:rPr>
        <w:t>Institui o Programa de Regularização: Edificação Legal, em Charqueadas e dá outras providências</w:t>
      </w:r>
      <w:r w:rsidRPr="00E11351">
        <w:rPr>
          <w:rFonts w:ascii="Arial Narrow" w:hAnsi="Arial Narrow"/>
          <w:bCs/>
        </w:rPr>
        <w:t>”</w:t>
      </w:r>
      <w:r w:rsidR="000D7E91"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5212B7" w:rsidRPr="00E11351" w:rsidRDefault="005212B7" w:rsidP="003E6BF4">
      <w:pPr>
        <w:ind w:firstLine="2520"/>
        <w:jc w:val="both"/>
        <w:rPr>
          <w:rFonts w:ascii="Arial Narrow" w:hAnsi="Arial Narrow"/>
          <w:bCs/>
        </w:rPr>
      </w:pPr>
    </w:p>
    <w:p w:rsidR="00E11CAB" w:rsidRPr="00E11CAB" w:rsidRDefault="000D7E91" w:rsidP="00E11CAB">
      <w:pPr>
        <w:pStyle w:val="Corpodetexto"/>
        <w:ind w:firstLine="1418"/>
        <w:jc w:val="both"/>
        <w:rPr>
          <w:rFonts w:ascii="Arial Narrow" w:hAnsi="Arial Narrow"/>
        </w:rPr>
      </w:pPr>
      <w:r w:rsidRPr="00E11CAB">
        <w:rPr>
          <w:rFonts w:ascii="Arial Narrow" w:hAnsi="Arial Narrow"/>
        </w:rPr>
        <w:t xml:space="preserve">O presente Projeto </w:t>
      </w:r>
      <w:r w:rsidR="00687C1F" w:rsidRPr="00E11CAB">
        <w:rPr>
          <w:rFonts w:ascii="Arial Narrow" w:hAnsi="Arial Narrow"/>
        </w:rPr>
        <w:t xml:space="preserve">de Lei visa </w:t>
      </w:r>
      <w:r w:rsidR="00E11CAB" w:rsidRPr="00E11CAB">
        <w:rPr>
          <w:rFonts w:ascii="Arial Narrow" w:hAnsi="Arial Narrow"/>
        </w:rPr>
        <w:t xml:space="preserve">dar </w:t>
      </w:r>
      <w:r w:rsidR="00E11CAB">
        <w:rPr>
          <w:rFonts w:ascii="Arial Narrow" w:hAnsi="Arial Narrow"/>
        </w:rPr>
        <w:t>continuidade a</w:t>
      </w:r>
      <w:r w:rsidR="00E11CAB" w:rsidRPr="00E11CAB">
        <w:rPr>
          <w:rFonts w:ascii="Arial Narrow" w:hAnsi="Arial Narrow"/>
        </w:rPr>
        <w:t>os trabalhos de revisão e elaboração de legislação municipal os quais já produziram a legislação que trata do Parcelamento do Solo Urbano, estamos encaminhando para exame e aprovação, a Proposta de Projeto de Lei que institui o Programa Edificação Legal.</w:t>
      </w:r>
    </w:p>
    <w:p w:rsidR="00FB14F5" w:rsidRDefault="00FB14F5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</w:p>
    <w:p w:rsidR="005212B7" w:rsidRPr="00E11351" w:rsidRDefault="005212B7" w:rsidP="002C659D">
      <w:pPr>
        <w:tabs>
          <w:tab w:val="left" w:pos="1134"/>
        </w:tabs>
        <w:ind w:firstLine="1418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A0977" w:rsidRPr="00F625B5" w:rsidRDefault="00DA0977" w:rsidP="005212B7">
      <w:pPr>
        <w:spacing w:line="360" w:lineRule="auto"/>
        <w:ind w:left="2520"/>
        <w:jc w:val="both"/>
        <w:rPr>
          <w:rFonts w:ascii="Arial Narrow" w:hAnsi="Arial Narrow"/>
        </w:rPr>
      </w:pPr>
    </w:p>
    <w:p w:rsidR="00DA0977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9C00CE" w:rsidRDefault="009C00CE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27AA9" w:rsidRDefault="00527AA9" w:rsidP="001D59C0">
      <w:pPr>
        <w:jc w:val="center"/>
        <w:rPr>
          <w:rFonts w:ascii="Arial Narrow" w:hAnsi="Arial Narrow"/>
        </w:rPr>
      </w:pPr>
    </w:p>
    <w:p w:rsidR="00DA0977" w:rsidRPr="00F625B5" w:rsidRDefault="00DA0977" w:rsidP="001D59C0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DA0977" w:rsidRPr="00F625B5" w:rsidRDefault="00DA0977" w:rsidP="001D59C0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4123EC" w:rsidRPr="00F625B5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D67CEF" w:rsidRPr="00F625B5" w:rsidRDefault="00D67CEF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46011E" w:rsidRDefault="0046011E" w:rsidP="004123EC">
      <w:pPr>
        <w:pStyle w:val="Ttulo"/>
        <w:rPr>
          <w:rFonts w:ascii="Arial Narrow" w:hAnsi="Arial Narrow"/>
        </w:rPr>
      </w:pPr>
    </w:p>
    <w:p w:rsidR="00B3360C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4D3A2B">
        <w:rPr>
          <w:rFonts w:ascii="Arial Narrow" w:hAnsi="Arial Narrow"/>
        </w:rPr>
        <w:t>26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B14C57" w:rsidRPr="00F625B5" w:rsidRDefault="00B14C57" w:rsidP="00B3360C">
      <w:pPr>
        <w:pStyle w:val="Ttulo"/>
        <w:rPr>
          <w:rFonts w:ascii="Arial Narrow" w:hAnsi="Arial Narrow"/>
        </w:rPr>
      </w:pPr>
    </w:p>
    <w:p w:rsidR="00FB14F5" w:rsidRDefault="00FB14F5" w:rsidP="00FB14F5">
      <w:pPr>
        <w:pStyle w:val="Default"/>
        <w:ind w:left="3828"/>
        <w:jc w:val="both"/>
        <w:rPr>
          <w:rFonts w:ascii="Arial Narrow" w:hAnsi="Arial Narrow"/>
          <w:b/>
          <w:bCs/>
        </w:rPr>
      </w:pPr>
      <w:r w:rsidRPr="00FB14F5">
        <w:rPr>
          <w:rFonts w:ascii="Arial Narrow" w:hAnsi="Arial Narrow"/>
          <w:b/>
          <w:bCs/>
        </w:rPr>
        <w:t xml:space="preserve">Institui o Programa de Regularização: Edificação Legal, em Charqueadas e dá outras providências.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b/>
          <w:bCs/>
        </w:rPr>
      </w:pPr>
    </w:p>
    <w:p w:rsidR="00FB14F5" w:rsidRPr="00EF6D02" w:rsidRDefault="00FB14F5" w:rsidP="00FB14F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O PREFEITO MUNICIPAL </w:t>
      </w:r>
      <w:r>
        <w:rPr>
          <w:rFonts w:ascii="Arial Narrow" w:hAnsi="Arial Narrow"/>
        </w:rPr>
        <w:t xml:space="preserve">EM EXERCÍCIO </w:t>
      </w:r>
      <w:r w:rsidRPr="00EF6D02">
        <w:rPr>
          <w:rFonts w:ascii="Arial Narrow" w:hAnsi="Arial Narrow"/>
        </w:rPr>
        <w:t>DE CHARQUEADAS, no uso de suas atribuições legais e de conformidade com o disposto no art. 53, inciso I da Lei Orgânica do Município,</w:t>
      </w:r>
    </w:p>
    <w:p w:rsidR="00FB14F5" w:rsidRPr="008F14F4" w:rsidRDefault="00FB14F5" w:rsidP="00FB14F5">
      <w:pPr>
        <w:jc w:val="both"/>
        <w:rPr>
          <w:rFonts w:ascii="Arial Narrow" w:hAnsi="Arial Narrow"/>
          <w:sz w:val="16"/>
          <w:szCs w:val="16"/>
        </w:rPr>
      </w:pPr>
    </w:p>
    <w:p w:rsidR="00FB14F5" w:rsidRPr="00EF6D02" w:rsidRDefault="00FB14F5" w:rsidP="00FB14F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FAÇO SABER que a Câmara Municipal aprovou e eu sanciono e promulgo a seguinte Lei: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Art. 1º </w:t>
      </w:r>
      <w:r w:rsidRPr="00FB14F5">
        <w:rPr>
          <w:rFonts w:ascii="Arial Narrow" w:hAnsi="Arial Narrow"/>
        </w:rPr>
        <w:t xml:space="preserve">Fica instituído no Município de Charqueadas o Programa Edificação Legal que tem como objetivo possibilitar a regularização de obras concluídas em conformidade ou em desconformidade com o Plano Diretor de Desenvolvimento Municipal de Charqueadas e Código de Obras.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Art. 2º </w:t>
      </w:r>
      <w:r w:rsidRPr="00FB14F5">
        <w:rPr>
          <w:rFonts w:ascii="Arial Narrow" w:hAnsi="Arial Narrow"/>
        </w:rPr>
        <w:t xml:space="preserve">Para efeitos de aplicação da presente Lei entende-se por obras concluídas aquelas que estejam em condições de </w:t>
      </w:r>
      <w:proofErr w:type="spellStart"/>
      <w:r w:rsidRPr="00FB14F5">
        <w:rPr>
          <w:rFonts w:ascii="Arial Narrow" w:hAnsi="Arial Narrow"/>
        </w:rPr>
        <w:t>habitabilidade</w:t>
      </w:r>
      <w:proofErr w:type="spellEnd"/>
      <w:r w:rsidRPr="00FB14F5">
        <w:rPr>
          <w:rFonts w:ascii="Arial Narrow" w:hAnsi="Arial Narrow"/>
        </w:rPr>
        <w:t>, e possuam no mínimo: paredes, telhado e contra</w:t>
      </w:r>
      <w:r w:rsidR="00E11CAB">
        <w:rPr>
          <w:rFonts w:ascii="Arial Narrow" w:hAnsi="Arial Narrow"/>
        </w:rPr>
        <w:t xml:space="preserve"> </w:t>
      </w:r>
      <w:proofErr w:type="gramStart"/>
      <w:r w:rsidRPr="00FB14F5">
        <w:rPr>
          <w:rFonts w:ascii="Arial Narrow" w:hAnsi="Arial Narrow"/>
        </w:rPr>
        <w:t>piso concluídos</w:t>
      </w:r>
      <w:proofErr w:type="gramEnd"/>
      <w:r w:rsidRPr="00FB14F5">
        <w:rPr>
          <w:rFonts w:ascii="Arial Narrow" w:hAnsi="Arial Narrow"/>
        </w:rPr>
        <w:t xml:space="preserve">, instalações elétricas e hidráulicas em pleno funcionamento, esquadrias instaladas e acesso mínimo adequado do logradouro público até a construção.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Parágrafo único: </w:t>
      </w:r>
      <w:r w:rsidRPr="00FB14F5">
        <w:rPr>
          <w:rFonts w:ascii="Arial Narrow" w:hAnsi="Arial Narrow"/>
        </w:rPr>
        <w:t xml:space="preserve">Consideram-se regulares as edificações que possuírem carta de Habitação mantidas as características originais.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Art. 3º </w:t>
      </w:r>
      <w:r w:rsidRPr="00FB14F5">
        <w:rPr>
          <w:rFonts w:ascii="Arial Narrow" w:hAnsi="Arial Narrow"/>
        </w:rPr>
        <w:t xml:space="preserve">Considera-se também regulares, todas as edificações concluídas até o ano de 2006 (quando foi instituído o plano diretor) cadastradas ou não no município, nas quais poderá ser emitido certificado de regularidade, mediante apresentação da comprovação da existência anterior a aquela data, e de apresentação de planta de situação/localização e laudo técnico e ART/RRT emitido por profissional habilitado.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>Parágrafo único</w:t>
      </w:r>
      <w:r w:rsidRPr="00FB14F5">
        <w:rPr>
          <w:rFonts w:ascii="Arial Narrow" w:hAnsi="Arial Narrow"/>
        </w:rPr>
        <w:t>: Não serão passiveis de regularização as situações que se enquadrarem nas vedações dispostas no art. 6º desta lei e não estiverem de acordo com o disposto nos itens II,</w:t>
      </w:r>
      <w:r>
        <w:rPr>
          <w:rFonts w:ascii="Arial Narrow" w:hAnsi="Arial Narrow"/>
        </w:rPr>
        <w:t xml:space="preserve"> </w:t>
      </w:r>
      <w:r w:rsidRPr="00FB14F5">
        <w:rPr>
          <w:rFonts w:ascii="Arial Narrow" w:hAnsi="Arial Narrow"/>
        </w:rPr>
        <w:t>III,</w:t>
      </w:r>
      <w:r>
        <w:rPr>
          <w:rFonts w:ascii="Arial Narrow" w:hAnsi="Arial Narrow"/>
        </w:rPr>
        <w:t xml:space="preserve"> </w:t>
      </w:r>
      <w:r w:rsidRPr="00FB14F5">
        <w:rPr>
          <w:rFonts w:ascii="Arial Narrow" w:hAnsi="Arial Narrow"/>
        </w:rPr>
        <w:t xml:space="preserve">IV e V do art. 5º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Art. 4º </w:t>
      </w:r>
      <w:r w:rsidRPr="00FB14F5">
        <w:rPr>
          <w:rFonts w:ascii="Arial Narrow" w:hAnsi="Arial Narrow"/>
        </w:rPr>
        <w:t xml:space="preserve">Serão regularizadas, mediante o pagamento das multas respectivas, </w:t>
      </w:r>
      <w:proofErr w:type="gramStart"/>
      <w:r w:rsidRPr="00FB14F5">
        <w:rPr>
          <w:rFonts w:ascii="Arial Narrow" w:hAnsi="Arial Narrow"/>
        </w:rPr>
        <w:t>as edificações que estiverem divergentes com o Código de Obras e o PDDM e que tenham sido concluídas entre 01 de janeiro de 2007</w:t>
      </w:r>
      <w:proofErr w:type="gramEnd"/>
      <w:r w:rsidRPr="00FB14F5">
        <w:rPr>
          <w:rFonts w:ascii="Arial Narrow" w:hAnsi="Arial Narrow"/>
        </w:rPr>
        <w:t xml:space="preserve"> e a data de publicação desta lei, desde que localizadas em área regular, com uso permitido na zona e não possuam impedimentos previstos no Código Civil.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Art. 5º </w:t>
      </w:r>
      <w:r w:rsidRPr="00FB14F5">
        <w:rPr>
          <w:rFonts w:ascii="Arial Narrow" w:hAnsi="Arial Narrow"/>
        </w:rPr>
        <w:t xml:space="preserve">São passíveis de regularização as obras: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I - Que tenham sido concluídas entre 01 de janeiro de 2007 até a data de publicação desta lei;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II - Que estejam em conformidade com a legislação ambiental;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III - Que estejam em conformidade com as leis e normas de prevenção de incêndio; </w:t>
      </w: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IV - Cujos terrenos possuam matrícula no Registro de Imóveis em nome do proprietário ou do detentor de direito real sobre bem imóvel; </w:t>
      </w: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V - Que possuam acesso por via pública ou servidão de passagem averbada no título de propriedade.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</w:rPr>
      </w:pPr>
      <w:r w:rsidRPr="00FB14F5">
        <w:rPr>
          <w:rFonts w:ascii="Arial Narrow" w:hAnsi="Arial Narrow"/>
          <w:b/>
          <w:bCs/>
        </w:rPr>
        <w:t xml:space="preserve">Parágrafo único: </w:t>
      </w:r>
      <w:r w:rsidRPr="00FB14F5">
        <w:rPr>
          <w:rFonts w:ascii="Arial Narrow" w:hAnsi="Arial Narrow"/>
        </w:rPr>
        <w:t xml:space="preserve">Quando o imóvel não estiver cadastrado na Prefeitura Municipal, a comprovação de que a construção foi concluída até a data de publicação desta lei, poderá ocorrer mediante a apresentação de documentos que atendam a, pelo menos, uma das seguintes exigências: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 - notas fiscais de materiais de acabamentos da construção utilizados;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 - documento de ART ou RRT do responsável técnico pela obra; III - outros documentos comprobatórios;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IV - casos especiais dependem de aceitação por Comissão composta por técnicos da Secretaria Municipal de Administração e Planejamento Urbano.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6º </w:t>
      </w:r>
      <w:r w:rsidRPr="00FB14F5">
        <w:rPr>
          <w:rFonts w:ascii="Arial Narrow" w:hAnsi="Arial Narrow"/>
          <w:color w:val="auto"/>
        </w:rPr>
        <w:t xml:space="preserve">Não são passíveis de regularização por esta Lei as obras: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 - Cujos lotes estejam em áreas de risco ou em Área de Preservação Permanente - APP com exceção dos casos em que exista legislação específica;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 - Que invadam alinhamento (limite divisório entre o lote e o logradouro público), inclusive em fachadas balanceadas que excedam o disposto no código de obras;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III - Que estejam sobre faixa </w:t>
      </w:r>
      <w:proofErr w:type="spellStart"/>
      <w:r w:rsidRPr="00FB14F5">
        <w:rPr>
          <w:rFonts w:ascii="Arial Narrow" w:hAnsi="Arial Narrow"/>
          <w:color w:val="auto"/>
        </w:rPr>
        <w:t>non</w:t>
      </w:r>
      <w:proofErr w:type="spellEnd"/>
      <w:r w:rsidRPr="00FB14F5">
        <w:rPr>
          <w:rFonts w:ascii="Arial Narrow" w:hAnsi="Arial Narrow"/>
          <w:color w:val="auto"/>
        </w:rPr>
        <w:t xml:space="preserve"> </w:t>
      </w:r>
      <w:proofErr w:type="spellStart"/>
      <w:r w:rsidRPr="00FB14F5">
        <w:rPr>
          <w:rFonts w:ascii="Arial Narrow" w:hAnsi="Arial Narrow"/>
          <w:color w:val="auto"/>
        </w:rPr>
        <w:t>aedificandi</w:t>
      </w:r>
      <w:proofErr w:type="spellEnd"/>
      <w:r w:rsidRPr="00FB14F5">
        <w:rPr>
          <w:rFonts w:ascii="Arial Narrow" w:hAnsi="Arial Narrow"/>
          <w:color w:val="auto"/>
        </w:rPr>
        <w:t xml:space="preserve"> de qualquer natureza ou áreas de domínio público, salvo autorização expressa do órgão competente;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IV - Que causem dano ao meio ambiente ou ao patrimônio histórico e cultural;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 - Que possam oferecer riscos aos moradores e vizinhos;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VI - Localizadas em </w:t>
      </w:r>
      <w:proofErr w:type="gramStart"/>
      <w:r w:rsidRPr="00FB14F5">
        <w:rPr>
          <w:rFonts w:ascii="Arial Narrow" w:hAnsi="Arial Narrow"/>
          <w:color w:val="auto"/>
        </w:rPr>
        <w:t>áreas resultante de parcelamento do solo implantados ilegalmente</w:t>
      </w:r>
      <w:proofErr w:type="gramEnd"/>
      <w:r w:rsidRPr="00FB14F5">
        <w:rPr>
          <w:rFonts w:ascii="Arial Narrow" w:hAnsi="Arial Narrow"/>
          <w:color w:val="auto"/>
        </w:rPr>
        <w:t xml:space="preserve">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VII – Que se tratarem no disposto no </w:t>
      </w:r>
      <w:proofErr w:type="spellStart"/>
      <w:r w:rsidRPr="00FB14F5">
        <w:rPr>
          <w:rFonts w:ascii="Arial Narrow" w:hAnsi="Arial Narrow"/>
          <w:color w:val="auto"/>
        </w:rPr>
        <w:t>art</w:t>
      </w:r>
      <w:proofErr w:type="spellEnd"/>
      <w:r w:rsidRPr="00FB14F5">
        <w:rPr>
          <w:rFonts w:ascii="Arial Narrow" w:hAnsi="Arial Narrow"/>
          <w:color w:val="auto"/>
        </w:rPr>
        <w:t xml:space="preserve"> 94 do código de obras, referente a recuos de edificações de madeira.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VIII - Que se enquadrarem nas vedações impostas no código civil, relativas ao direito de vizinhança;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7º </w:t>
      </w:r>
      <w:r w:rsidRPr="00FB14F5">
        <w:rPr>
          <w:rFonts w:ascii="Arial Narrow" w:hAnsi="Arial Narrow"/>
          <w:color w:val="auto"/>
        </w:rPr>
        <w:t xml:space="preserve">A regularização deverá contemplar toda e qualquer edificação constante no lote e considerará todos os requisitos urbanísticos previstos no Plano Diretor de Desenvolvimento Municipal de Charqueadas e Código de Obras.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8º </w:t>
      </w:r>
      <w:r w:rsidRPr="00FB14F5">
        <w:rPr>
          <w:rFonts w:ascii="Arial Narrow" w:hAnsi="Arial Narrow"/>
          <w:color w:val="auto"/>
        </w:rPr>
        <w:t xml:space="preserve">Às edificações regularizadas nos termos da presente Lei incidirão multas previstas no art. 19 que por ocasião da emissão da Carta de Habitação deverão estar quitadas junto a Fazenda Municipal.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DO PROCESSO ADMINISTRATIVO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9º </w:t>
      </w:r>
      <w:r w:rsidRPr="00FB14F5">
        <w:rPr>
          <w:rFonts w:ascii="Arial Narrow" w:hAnsi="Arial Narrow"/>
          <w:color w:val="auto"/>
        </w:rPr>
        <w:t xml:space="preserve">As edificações serão regularizadas mediante processo administrativo que deverá ser protocolado até 24 meses após publicação da presente Lei.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10 </w:t>
      </w:r>
      <w:r w:rsidRPr="00FB14F5">
        <w:rPr>
          <w:rFonts w:ascii="Arial Narrow" w:hAnsi="Arial Narrow"/>
          <w:color w:val="auto"/>
        </w:rPr>
        <w:t xml:space="preserve">Com a solicitação de regularização de obra, o processo de emissão de habite-se ocorrerá conjuntamente.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11 </w:t>
      </w:r>
      <w:r w:rsidRPr="00FB14F5">
        <w:rPr>
          <w:rFonts w:ascii="Arial Narrow" w:hAnsi="Arial Narrow"/>
          <w:color w:val="auto"/>
        </w:rPr>
        <w:t xml:space="preserve">Na análise do projeto de regularização, o Município se resguarda o direito de exigir obras de adequação, para dar condições de </w:t>
      </w:r>
      <w:proofErr w:type="spellStart"/>
      <w:r w:rsidRPr="00FB14F5">
        <w:rPr>
          <w:rFonts w:ascii="Arial Narrow" w:hAnsi="Arial Narrow"/>
          <w:color w:val="auto"/>
        </w:rPr>
        <w:t>habitabilidade</w:t>
      </w:r>
      <w:proofErr w:type="spellEnd"/>
      <w:r w:rsidRPr="00FB14F5">
        <w:rPr>
          <w:rFonts w:ascii="Arial Narrow" w:hAnsi="Arial Narrow"/>
          <w:color w:val="auto"/>
        </w:rPr>
        <w:t xml:space="preserve">, estabilidade, permeabilidade, acessibilidade, segurança, higiene e salubridade da edificação, independentemente do pagamento das multas.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4D3A2B" w:rsidRDefault="00FB14F5" w:rsidP="0046011E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12 </w:t>
      </w:r>
      <w:r w:rsidRPr="00FB14F5">
        <w:rPr>
          <w:rFonts w:ascii="Arial Narrow" w:hAnsi="Arial Narrow"/>
          <w:color w:val="auto"/>
        </w:rPr>
        <w:t xml:space="preserve">O Município deverá aprovar o processo de regularização no prazo de 30 (trinta) dias, se atendidos os requisitos previstos nesta Lei, as demais normas pertinentes e as possíveis exigências solicitadas. </w:t>
      </w:r>
    </w:p>
    <w:p w:rsidR="004D3A2B" w:rsidRDefault="00FB14F5" w:rsidP="0046011E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lastRenderedPageBreak/>
        <w:t xml:space="preserve">§ 1º A cada reentrada do processo se reinicia a contagem do prazo. </w:t>
      </w:r>
    </w:p>
    <w:p w:rsidR="00FB14F5" w:rsidRDefault="00FB14F5" w:rsidP="0046011E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§ 2º O requerente deverá apresentar as adequações exigidas pelo Município, no prazo máximo de 90 (noventa) dias contados a partir da emissão da Notificação de Pendência, findos os quais, sem o atendimento das exigências, será o processo arquivado. </w:t>
      </w:r>
    </w:p>
    <w:p w:rsidR="0046011E" w:rsidRPr="0046011E" w:rsidRDefault="0046011E" w:rsidP="0046011E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b/>
          <w:color w:val="auto"/>
        </w:rPr>
      </w:pPr>
      <w:r w:rsidRPr="0046011E">
        <w:rPr>
          <w:rFonts w:ascii="Arial Narrow" w:hAnsi="Arial Narrow"/>
          <w:b/>
          <w:color w:val="auto"/>
        </w:rPr>
        <w:t xml:space="preserve">DA DOCUMENTAÇÃO A SER APRESENTADA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13 </w:t>
      </w:r>
      <w:r w:rsidRPr="00FB14F5">
        <w:rPr>
          <w:rFonts w:ascii="Arial Narrow" w:hAnsi="Arial Narrow"/>
          <w:color w:val="auto"/>
        </w:rPr>
        <w:t xml:space="preserve">As edificações residenciais </w:t>
      </w:r>
      <w:proofErr w:type="spellStart"/>
      <w:r w:rsidRPr="00FB14F5">
        <w:rPr>
          <w:rFonts w:ascii="Arial Narrow" w:hAnsi="Arial Narrow"/>
          <w:color w:val="auto"/>
        </w:rPr>
        <w:t>unifamiliares</w:t>
      </w:r>
      <w:proofErr w:type="spellEnd"/>
      <w:r w:rsidRPr="00FB14F5">
        <w:rPr>
          <w:rFonts w:ascii="Arial Narrow" w:hAnsi="Arial Narrow"/>
          <w:color w:val="auto"/>
        </w:rPr>
        <w:t xml:space="preserve">, e as edificações não residenciais e de uso misto com área de até 100m2 poderão ser regularizadas mediante o pagamento das respectivas taxas e a apresentação de: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 - requerimento padrão RAC;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 - matrícula individualizada do imóvel atualizada e/ou documento do detentor de direito real sobre o bem imóvel;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III - cópia do documento de identidade do proprietário ou representante legal;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>IV - planta de situação e localização (</w:t>
      </w:r>
      <w:proofErr w:type="gramStart"/>
      <w:r w:rsidRPr="00FB14F5">
        <w:rPr>
          <w:rFonts w:ascii="Arial Narrow" w:hAnsi="Arial Narrow"/>
          <w:color w:val="auto"/>
        </w:rPr>
        <w:t>2</w:t>
      </w:r>
      <w:proofErr w:type="gramEnd"/>
      <w:r w:rsidRPr="00FB14F5">
        <w:rPr>
          <w:rFonts w:ascii="Arial Narrow" w:hAnsi="Arial Narrow"/>
          <w:color w:val="auto"/>
        </w:rPr>
        <w:t xml:space="preserve"> (duas) cópias no mínimo) com quadro de áreas e índices urbanísticos;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V- Corte esquemático;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>VI - planta de localização do esgotamento sanitário (</w:t>
      </w:r>
      <w:proofErr w:type="gramStart"/>
      <w:r w:rsidRPr="00FB14F5">
        <w:rPr>
          <w:rFonts w:ascii="Arial Narrow" w:hAnsi="Arial Narrow"/>
          <w:color w:val="auto"/>
        </w:rPr>
        <w:t>2</w:t>
      </w:r>
      <w:proofErr w:type="gramEnd"/>
      <w:r w:rsidRPr="00FB14F5">
        <w:rPr>
          <w:rFonts w:ascii="Arial Narrow" w:hAnsi="Arial Narrow"/>
          <w:color w:val="auto"/>
        </w:rPr>
        <w:t xml:space="preserve"> (duas) cópias no mínimo);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VII - projeto de passeio público atendendo NBR 9050;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VIII - anotação de Responsabilidade </w:t>
      </w:r>
      <w:proofErr w:type="gramStart"/>
      <w:r w:rsidRPr="00FB14F5">
        <w:rPr>
          <w:rFonts w:ascii="Arial Narrow" w:hAnsi="Arial Narrow"/>
          <w:color w:val="auto"/>
        </w:rPr>
        <w:t>Técnica(</w:t>
      </w:r>
      <w:proofErr w:type="gramEnd"/>
      <w:r w:rsidRPr="00FB14F5">
        <w:rPr>
          <w:rFonts w:ascii="Arial Narrow" w:hAnsi="Arial Narrow"/>
          <w:color w:val="auto"/>
        </w:rPr>
        <w:t xml:space="preserve"> ART) ou registro de responsabilidade Técnica (RRT) de Regularização, Vistoria e Laudo Técnico contendo os seguintes itens: arquitetônico, instalações </w:t>
      </w:r>
      <w:proofErr w:type="spellStart"/>
      <w:r w:rsidRPr="00FB14F5">
        <w:rPr>
          <w:rFonts w:ascii="Arial Narrow" w:hAnsi="Arial Narrow"/>
          <w:color w:val="auto"/>
        </w:rPr>
        <w:t>hidrossanitárias</w:t>
      </w:r>
      <w:proofErr w:type="spellEnd"/>
      <w:r w:rsidRPr="00FB14F5">
        <w:rPr>
          <w:rFonts w:ascii="Arial Narrow" w:hAnsi="Arial Narrow"/>
          <w:color w:val="auto"/>
        </w:rPr>
        <w:t xml:space="preserve">, instalações elétricas, fundações e estruturas, quando for o caso;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IX- laudo técnico, assinado pelo responsável técnico do projeto de regularização e pelo proprietário do imóvel, o qual deverá atestar que a edificação está concluída, em condições habitáveis, possui estabilidade estrutural, bem como ateste as condições do sistema de esgotamento sanitário e que o mesmo atende a NBR pertinente (duas cópias, no mínimo),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X - Licença de Operação emitida pelo órgão ambiental, quando for o caso;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XI - apresentação da Certidão de Alinhamento e/ou Anuência do Departamento Nacional de </w:t>
      </w:r>
      <w:proofErr w:type="spellStart"/>
      <w:r w:rsidRPr="00FB14F5">
        <w:rPr>
          <w:rFonts w:ascii="Arial Narrow" w:hAnsi="Arial Narrow"/>
          <w:color w:val="auto"/>
        </w:rPr>
        <w:t>Infraestrutura</w:t>
      </w:r>
      <w:proofErr w:type="spellEnd"/>
      <w:r w:rsidRPr="00FB14F5">
        <w:rPr>
          <w:rFonts w:ascii="Arial Narrow" w:hAnsi="Arial Narrow"/>
          <w:color w:val="auto"/>
        </w:rPr>
        <w:t xml:space="preserve"> Terrestre - DNIT ou DAER, quando for o caso;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  <w:r w:rsidRPr="00FB14F5">
        <w:rPr>
          <w:rFonts w:ascii="Arial Narrow" w:hAnsi="Arial Narrow"/>
          <w:color w:val="auto"/>
        </w:rPr>
        <w:t xml:space="preserve">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14 </w:t>
      </w:r>
      <w:r w:rsidRPr="00FB14F5">
        <w:rPr>
          <w:rFonts w:ascii="Arial Narrow" w:hAnsi="Arial Narrow"/>
          <w:color w:val="auto"/>
        </w:rPr>
        <w:t xml:space="preserve">As edificações de uso residencial </w:t>
      </w:r>
      <w:proofErr w:type="spellStart"/>
      <w:r w:rsidRPr="00FB14F5">
        <w:rPr>
          <w:rFonts w:ascii="Arial Narrow" w:hAnsi="Arial Narrow"/>
          <w:color w:val="auto"/>
        </w:rPr>
        <w:t>multifamiliar</w:t>
      </w:r>
      <w:proofErr w:type="spellEnd"/>
      <w:r w:rsidRPr="00FB14F5">
        <w:rPr>
          <w:rFonts w:ascii="Arial Narrow" w:hAnsi="Arial Narrow"/>
          <w:color w:val="auto"/>
        </w:rPr>
        <w:t>, e as edificações não residenciais, ou de uso misto com área acima de 100m2 poderão ser regularizadas mediante o pagamento das respectivas taxas e a apresentação de: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 - requerimento padrão RAC;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 - matrícula do imóvel atualizada;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III - Cópia do documento de identidade do proprietário ou do representante legal;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>IV - planta de situação e localização (</w:t>
      </w:r>
      <w:proofErr w:type="gramStart"/>
      <w:r w:rsidRPr="00FB14F5">
        <w:rPr>
          <w:rFonts w:ascii="Arial Narrow" w:hAnsi="Arial Narrow"/>
          <w:color w:val="auto"/>
        </w:rPr>
        <w:t>2</w:t>
      </w:r>
      <w:proofErr w:type="gramEnd"/>
      <w:r w:rsidR="0046011E">
        <w:rPr>
          <w:rFonts w:ascii="Arial Narrow" w:hAnsi="Arial Narrow"/>
          <w:color w:val="auto"/>
        </w:rPr>
        <w:t xml:space="preserve"> </w:t>
      </w:r>
      <w:r w:rsidRPr="00FB14F5">
        <w:rPr>
          <w:rFonts w:ascii="Arial Narrow" w:hAnsi="Arial Narrow"/>
          <w:color w:val="auto"/>
        </w:rPr>
        <w:t>duas</w:t>
      </w:r>
      <w:r w:rsidR="0046011E">
        <w:rPr>
          <w:rFonts w:ascii="Arial Narrow" w:hAnsi="Arial Narrow"/>
          <w:color w:val="auto"/>
        </w:rPr>
        <w:t xml:space="preserve"> </w:t>
      </w:r>
      <w:r w:rsidRPr="00FB14F5">
        <w:rPr>
          <w:rFonts w:ascii="Arial Narrow" w:hAnsi="Arial Narrow"/>
          <w:color w:val="auto"/>
        </w:rPr>
        <w:t xml:space="preserve">cópias no mínimo) com quadro de áreas e índices urbanísticos;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 - Estudo de Impacto de Vizinhança, quando for o caso;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VI - Licença de Operação emitida pelo órgão ambiental, quando couber;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>VII- projeto arquitetônico completo (</w:t>
      </w:r>
      <w:proofErr w:type="gramStart"/>
      <w:r w:rsidRPr="00FB14F5">
        <w:rPr>
          <w:rFonts w:ascii="Arial Narrow" w:hAnsi="Arial Narrow"/>
          <w:color w:val="auto"/>
        </w:rPr>
        <w:t>2</w:t>
      </w:r>
      <w:proofErr w:type="gramEnd"/>
      <w:r w:rsidRPr="00FB14F5">
        <w:rPr>
          <w:rFonts w:ascii="Arial Narrow" w:hAnsi="Arial Narrow"/>
          <w:color w:val="auto"/>
        </w:rPr>
        <w:t xml:space="preserve"> duas cópias no mínimo);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>VIII - planta de localização do esgoto sanitário (</w:t>
      </w:r>
      <w:proofErr w:type="gramStart"/>
      <w:r w:rsidRPr="00FB14F5">
        <w:rPr>
          <w:rFonts w:ascii="Arial Narrow" w:hAnsi="Arial Narrow"/>
          <w:color w:val="auto"/>
        </w:rPr>
        <w:t>2</w:t>
      </w:r>
      <w:proofErr w:type="gramEnd"/>
      <w:r w:rsidRPr="00FB14F5">
        <w:rPr>
          <w:rFonts w:ascii="Arial Narrow" w:hAnsi="Arial Narrow"/>
          <w:color w:val="auto"/>
        </w:rPr>
        <w:t xml:space="preserve"> duas cópias no mínimo);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IX - projeto de passeio público atendendo NBR 9050 e a lei de Acessibilidade 10 098.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lastRenderedPageBreak/>
        <w:t xml:space="preserve">X - ART ou RRT de Regularização, Vistoria e Laudo Técnico contendo os seguintes itens: arquitetônico, instalações </w:t>
      </w:r>
      <w:proofErr w:type="spellStart"/>
      <w:r w:rsidRPr="00FB14F5">
        <w:rPr>
          <w:rFonts w:ascii="Arial Narrow" w:hAnsi="Arial Narrow"/>
          <w:color w:val="auto"/>
        </w:rPr>
        <w:t>hidrossanitárias</w:t>
      </w:r>
      <w:proofErr w:type="spellEnd"/>
      <w:r w:rsidRPr="00FB14F5">
        <w:rPr>
          <w:rFonts w:ascii="Arial Narrow" w:hAnsi="Arial Narrow"/>
          <w:color w:val="auto"/>
        </w:rPr>
        <w:t xml:space="preserve">, instalações elétricas, fundações e estruturas quando couber; </w:t>
      </w:r>
    </w:p>
    <w:p w:rsidR="00FB14F5" w:rsidRPr="00FB14F5" w:rsidRDefault="00FB14F5" w:rsidP="0046011E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XI - laudo técnico, assinado por profissional habilitado, o qual deverá atestar que a edificação está concluída, em condições habitáveis e possui estabilidade estrutural bem como ateste as condições do sistema de esgotamento sanitário e que o mesmo atende a NBR pertinente (duas cópias, no mínimo);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>XII- quadros I e II da NBR 12.721, quando couber (</w:t>
      </w:r>
      <w:proofErr w:type="gramStart"/>
      <w:r w:rsidRPr="00FB14F5">
        <w:rPr>
          <w:rFonts w:ascii="Arial Narrow" w:hAnsi="Arial Narrow"/>
          <w:color w:val="auto"/>
        </w:rPr>
        <w:t>2</w:t>
      </w:r>
      <w:proofErr w:type="gramEnd"/>
      <w:r w:rsidRPr="00FB14F5">
        <w:rPr>
          <w:rFonts w:ascii="Arial Narrow" w:hAnsi="Arial Narrow"/>
          <w:color w:val="auto"/>
        </w:rPr>
        <w:t xml:space="preserve"> (duas) cópias, no mínimo);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XIII - alvará do plano de prevenção contra incêndio (APPCI), quando for o caso; </w:t>
      </w:r>
    </w:p>
    <w:p w:rsidR="0046011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XIV - laudo </w:t>
      </w:r>
      <w:proofErr w:type="gramStart"/>
      <w:r w:rsidRPr="00FB14F5">
        <w:rPr>
          <w:rFonts w:ascii="Arial Narrow" w:hAnsi="Arial Narrow"/>
          <w:color w:val="auto"/>
        </w:rPr>
        <w:t>técnico e respectiva</w:t>
      </w:r>
      <w:proofErr w:type="gramEnd"/>
      <w:r w:rsidRPr="00FB14F5">
        <w:rPr>
          <w:rFonts w:ascii="Arial Narrow" w:hAnsi="Arial Narrow"/>
          <w:color w:val="auto"/>
        </w:rPr>
        <w:t xml:space="preserve"> ART dos elevadores, escadas ou esteiras rolantes, atestando a conformidade nas instalações, quando for o caso.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XV - apresentação da Certidão de Alinhamento e/ou Anuência do Departamento Nacional de </w:t>
      </w:r>
      <w:proofErr w:type="spellStart"/>
      <w:r w:rsidRPr="00FB14F5">
        <w:rPr>
          <w:rFonts w:ascii="Arial Narrow" w:hAnsi="Arial Narrow"/>
          <w:color w:val="auto"/>
        </w:rPr>
        <w:t>Infraestrutura</w:t>
      </w:r>
      <w:proofErr w:type="spellEnd"/>
      <w:r w:rsidRPr="00FB14F5">
        <w:rPr>
          <w:rFonts w:ascii="Arial Narrow" w:hAnsi="Arial Narrow"/>
          <w:color w:val="auto"/>
        </w:rPr>
        <w:t xml:space="preserve"> Terrestre - DNIT ou DAER, quando for o caso. </w:t>
      </w:r>
    </w:p>
    <w:p w:rsidR="004D3A2B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§ 1º Os prédios a serem regularizados deverão estar de acordo com as normas de acessibilidade. </w:t>
      </w:r>
    </w:p>
    <w:p w:rsidR="004D3A2B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§ 2º Poderá ser exigida a apresentação de Estudo de Impacto de Vizinhança - EIV e licenciamentos ambientais, quando for o caso.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§ 3º Regularizações em condomínios só poderão ser encaminhadas com a autorização de todos os condôminos, através de ata ou documento que a substitua, conforme regulamentos condominiais.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15 </w:t>
      </w:r>
      <w:r w:rsidRPr="00FB14F5">
        <w:rPr>
          <w:rFonts w:ascii="Arial Narrow" w:hAnsi="Arial Narrow"/>
          <w:color w:val="auto"/>
        </w:rPr>
        <w:t xml:space="preserve">Não serão admitidas nenhum tipo de rasura, devendo ocorrer à substituição de plantas e pranchas.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16 </w:t>
      </w:r>
      <w:r w:rsidRPr="00FB14F5">
        <w:rPr>
          <w:rFonts w:ascii="Arial Narrow" w:hAnsi="Arial Narrow"/>
          <w:color w:val="auto"/>
        </w:rPr>
        <w:t xml:space="preserve">Para primeira análise do processo é facultada a apresentação de apenas uma via do projeto.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>Art.</w:t>
      </w:r>
      <w:r>
        <w:rPr>
          <w:rFonts w:ascii="Arial Narrow" w:hAnsi="Arial Narrow"/>
          <w:b/>
          <w:bCs/>
          <w:color w:val="auto"/>
        </w:rPr>
        <w:t xml:space="preserve"> </w:t>
      </w:r>
      <w:r w:rsidRPr="00FB14F5">
        <w:rPr>
          <w:rFonts w:ascii="Arial Narrow" w:hAnsi="Arial Narrow"/>
          <w:b/>
          <w:bCs/>
          <w:color w:val="auto"/>
        </w:rPr>
        <w:t xml:space="preserve">17 </w:t>
      </w:r>
      <w:r w:rsidRPr="00FB14F5">
        <w:rPr>
          <w:rFonts w:ascii="Arial Narrow" w:hAnsi="Arial Narrow"/>
          <w:color w:val="auto"/>
        </w:rPr>
        <w:t xml:space="preserve">As edificações já regularizadas deverão ser representadas em planta, sem necessidade de detalhamento, informando apenas a palavra "existente".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18 </w:t>
      </w:r>
      <w:r w:rsidRPr="00FB14F5">
        <w:rPr>
          <w:rFonts w:ascii="Arial Narrow" w:hAnsi="Arial Narrow"/>
          <w:color w:val="auto"/>
        </w:rPr>
        <w:t xml:space="preserve">Estão excluídas da possibilidade de regularização de ocupação do recuo frontal, as edificações de frente para as ruas citadas no capítulo IV do PDDM, onde é previsto recuo para alargamento viário. </w:t>
      </w:r>
    </w:p>
    <w:p w:rsidR="0046011E" w:rsidRPr="0046011E" w:rsidRDefault="0046011E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Pr="0046011E" w:rsidRDefault="00FB14F5" w:rsidP="0046011E">
      <w:pPr>
        <w:pStyle w:val="Default"/>
        <w:rPr>
          <w:rFonts w:ascii="Arial Narrow" w:hAnsi="Arial Narrow"/>
          <w:b/>
          <w:color w:val="auto"/>
        </w:rPr>
      </w:pPr>
      <w:r w:rsidRPr="0046011E">
        <w:rPr>
          <w:rFonts w:ascii="Arial Narrow" w:hAnsi="Arial Narrow"/>
          <w:b/>
          <w:color w:val="auto"/>
        </w:rPr>
        <w:t>DAS MULTAS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19 </w:t>
      </w:r>
      <w:r w:rsidRPr="00FB14F5">
        <w:rPr>
          <w:rFonts w:ascii="Arial Narrow" w:hAnsi="Arial Narrow"/>
          <w:color w:val="auto"/>
        </w:rPr>
        <w:t xml:space="preserve">Para efeito desta Lei são </w:t>
      </w:r>
      <w:r w:rsidR="0046011E">
        <w:rPr>
          <w:rFonts w:ascii="Arial Narrow" w:hAnsi="Arial Narrow"/>
          <w:color w:val="auto"/>
        </w:rPr>
        <w:t>i</w:t>
      </w:r>
      <w:r w:rsidRPr="00FB14F5">
        <w:rPr>
          <w:rFonts w:ascii="Arial Narrow" w:hAnsi="Arial Narrow"/>
          <w:color w:val="auto"/>
        </w:rPr>
        <w:t xml:space="preserve">nfrações puníveis com multa, independente das demais sanções previstas em legislação específica: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 - taxa de Ocupação (TO) superior a prevista na Zona de Uso, multa de </w:t>
      </w:r>
      <w:proofErr w:type="gramStart"/>
      <w:r w:rsidRPr="00FB14F5">
        <w:rPr>
          <w:rFonts w:ascii="Arial Narrow" w:hAnsi="Arial Narrow"/>
          <w:color w:val="auto"/>
        </w:rPr>
        <w:t>1</w:t>
      </w:r>
      <w:proofErr w:type="gramEnd"/>
      <w:r w:rsidRPr="00FB14F5">
        <w:rPr>
          <w:rFonts w:ascii="Arial Narrow" w:hAnsi="Arial Narrow"/>
          <w:color w:val="auto"/>
        </w:rPr>
        <w:t xml:space="preserve"> (uma) UPR para cada metro quadrado de área excedente a taxa prevista na Zona de Uso;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 - índice de Aproveitamento (IA) superior ao previsto na Zona de Uso, multa de </w:t>
      </w:r>
      <w:proofErr w:type="gramStart"/>
      <w:r w:rsidRPr="00FB14F5">
        <w:rPr>
          <w:rFonts w:ascii="Arial Narrow" w:hAnsi="Arial Narrow"/>
          <w:color w:val="auto"/>
        </w:rPr>
        <w:t>1</w:t>
      </w:r>
      <w:proofErr w:type="gramEnd"/>
      <w:r w:rsidRPr="00FB14F5">
        <w:rPr>
          <w:rFonts w:ascii="Arial Narrow" w:hAnsi="Arial Narrow"/>
          <w:color w:val="auto"/>
        </w:rPr>
        <w:t xml:space="preserve"> (uma) UPR para cada metro quadrado de área construída excedente ao permitido na Zona de Uso;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III - não observância dos recuos laterais e </w:t>
      </w:r>
      <w:proofErr w:type="gramStart"/>
      <w:r w:rsidRPr="00FB14F5">
        <w:rPr>
          <w:rFonts w:ascii="Arial Narrow" w:hAnsi="Arial Narrow"/>
          <w:color w:val="auto"/>
        </w:rPr>
        <w:t>fundos previsto na Zona de Uso</w:t>
      </w:r>
      <w:proofErr w:type="gramEnd"/>
      <w:r w:rsidRPr="00FB14F5">
        <w:rPr>
          <w:rFonts w:ascii="Arial Narrow" w:hAnsi="Arial Narrow"/>
          <w:color w:val="auto"/>
        </w:rPr>
        <w:t xml:space="preserve">, multa: 1 (uma) UPR para cada metro quadrado de área construída nos recuos laterais e /ou de fundos;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IV - não observância dos recuos frontais previsto na Zona de Uso, multa: </w:t>
      </w:r>
      <w:proofErr w:type="gramStart"/>
      <w:r w:rsidRPr="00FB14F5">
        <w:rPr>
          <w:rFonts w:ascii="Arial Narrow" w:hAnsi="Arial Narrow"/>
          <w:color w:val="auto"/>
        </w:rPr>
        <w:t>1</w:t>
      </w:r>
      <w:proofErr w:type="gramEnd"/>
      <w:r w:rsidRPr="00FB14F5">
        <w:rPr>
          <w:rFonts w:ascii="Arial Narrow" w:hAnsi="Arial Narrow"/>
          <w:color w:val="auto"/>
        </w:rPr>
        <w:t xml:space="preserve">(uma) UPR para cada metro quadrado de área construída no recuo frontal;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V - não observância da taxa de permeabilidade, multa: </w:t>
      </w:r>
      <w:proofErr w:type="gramStart"/>
      <w:r w:rsidRPr="00FB14F5">
        <w:rPr>
          <w:rFonts w:ascii="Arial Narrow" w:hAnsi="Arial Narrow"/>
          <w:color w:val="auto"/>
        </w:rPr>
        <w:t>1</w:t>
      </w:r>
      <w:proofErr w:type="gramEnd"/>
      <w:r w:rsidRPr="00FB14F5">
        <w:rPr>
          <w:rFonts w:ascii="Arial Narrow" w:hAnsi="Arial Narrow"/>
          <w:color w:val="auto"/>
        </w:rPr>
        <w:t xml:space="preserve"> (uma) UPR para cada metro quadrado de cobertura não atingida.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 w:cs="Times New Roman"/>
          <w:color w:val="auto"/>
        </w:rPr>
      </w:pPr>
    </w:p>
    <w:p w:rsidR="004D3A2B" w:rsidRDefault="00FB14F5" w:rsidP="00FB14F5">
      <w:pPr>
        <w:pStyle w:val="Default"/>
        <w:pageBreakBefore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lastRenderedPageBreak/>
        <w:t xml:space="preserve">VI - não havendo possibilidade de atendimento ao número de vagas de estacionamento exigidas, multa: </w:t>
      </w:r>
      <w:proofErr w:type="gramStart"/>
      <w:r w:rsidRPr="00FB14F5">
        <w:rPr>
          <w:rFonts w:ascii="Arial Narrow" w:hAnsi="Arial Narrow"/>
          <w:color w:val="auto"/>
        </w:rPr>
        <w:t>1</w:t>
      </w:r>
      <w:proofErr w:type="gramEnd"/>
      <w:r w:rsidRPr="00FB14F5">
        <w:rPr>
          <w:rFonts w:ascii="Arial Narrow" w:hAnsi="Arial Narrow"/>
          <w:color w:val="auto"/>
        </w:rPr>
        <w:t xml:space="preserve"> (uma) UPR para cada vaga não atendidas.</w:t>
      </w:r>
    </w:p>
    <w:p w:rsidR="004D3A2B" w:rsidRDefault="00FB14F5" w:rsidP="004D3A2B">
      <w:pPr>
        <w:tabs>
          <w:tab w:val="left" w:pos="1333"/>
        </w:tabs>
        <w:rPr>
          <w:rFonts w:ascii="Arial Narrow" w:hAnsi="Arial Narrow"/>
        </w:rPr>
      </w:pPr>
      <w:r w:rsidRPr="00FB14F5">
        <w:rPr>
          <w:rFonts w:ascii="Arial Narrow" w:hAnsi="Arial Narrow"/>
        </w:rPr>
        <w:t>§ 1º Considera-se infrator, para os efeitos desta Lei, o proprietário do imóvel ou possuidor a qualque</w:t>
      </w:r>
      <w:r w:rsidR="004D3A2B">
        <w:rPr>
          <w:rFonts w:ascii="Arial Narrow" w:hAnsi="Arial Narrow"/>
        </w:rPr>
        <w:t>r título.</w:t>
      </w:r>
    </w:p>
    <w:p w:rsidR="004D3A2B" w:rsidRDefault="004D3A2B" w:rsidP="004D3A2B">
      <w:pPr>
        <w:tabs>
          <w:tab w:val="left" w:pos="1333"/>
        </w:tabs>
        <w:rPr>
          <w:rFonts w:ascii="Arial Narrow" w:hAnsi="Arial Narrow"/>
        </w:rPr>
      </w:pPr>
      <w:r w:rsidRPr="00FB14F5">
        <w:rPr>
          <w:rFonts w:ascii="Arial Narrow" w:hAnsi="Arial Narrow"/>
        </w:rPr>
        <w:t>§</w:t>
      </w:r>
      <w:r w:rsidR="00FB14F5" w:rsidRPr="00FB14F5">
        <w:rPr>
          <w:rFonts w:ascii="Arial Narrow" w:hAnsi="Arial Narrow"/>
        </w:rPr>
        <w:t xml:space="preserve"> 2º No caso de edificações com embargos ou em que houve descumprimento de intimações as multas previstas na presente lei não isentam do pagamento de multas administrativas </w:t>
      </w:r>
      <w:proofErr w:type="gramStart"/>
      <w:r w:rsidR="00FB14F5" w:rsidRPr="00FB14F5">
        <w:rPr>
          <w:rFonts w:ascii="Arial Narrow" w:hAnsi="Arial Narrow"/>
        </w:rPr>
        <w:t>já aplicadas e, em havendo processo judicial</w:t>
      </w:r>
      <w:proofErr w:type="gramEnd"/>
      <w:r w:rsidR="00FB14F5" w:rsidRPr="00FB14F5">
        <w:rPr>
          <w:rFonts w:ascii="Arial Narrow" w:hAnsi="Arial Narrow"/>
        </w:rPr>
        <w:t xml:space="preserve">, os ônus processuais decorrentes serão integralmente custeados pelo proprietário. </w:t>
      </w:r>
    </w:p>
    <w:p w:rsidR="004D3A2B" w:rsidRDefault="00FB14F5" w:rsidP="004D3A2B">
      <w:pPr>
        <w:tabs>
          <w:tab w:val="left" w:pos="1333"/>
        </w:tabs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§ 3º Imóveis provenientes de regularização fundiária promovidos pelo Município estarão isentas de pagamento das multas previstas na presente lei. </w:t>
      </w:r>
    </w:p>
    <w:p w:rsidR="0046011E" w:rsidRDefault="00FB14F5" w:rsidP="004D3A2B">
      <w:pPr>
        <w:tabs>
          <w:tab w:val="left" w:pos="1333"/>
        </w:tabs>
        <w:rPr>
          <w:rFonts w:ascii="Arial Narrow" w:hAnsi="Arial Narrow"/>
        </w:rPr>
      </w:pPr>
      <w:r w:rsidRPr="00FB14F5">
        <w:rPr>
          <w:rFonts w:ascii="Arial Narrow" w:hAnsi="Arial Narrow"/>
        </w:rPr>
        <w:t xml:space="preserve">§ 4º A regularização da obra somente será efetivada após comprovação do pagamento das respectivas multas, inclusive eventuais multas administrativas aplicadas. </w:t>
      </w:r>
    </w:p>
    <w:p w:rsidR="0046011E" w:rsidRPr="0046011E" w:rsidRDefault="0046011E" w:rsidP="00FB14F5">
      <w:pPr>
        <w:pStyle w:val="Default"/>
        <w:jc w:val="both"/>
        <w:rPr>
          <w:rFonts w:ascii="Arial Narrow" w:hAnsi="Arial Narrow"/>
          <w:b/>
          <w:color w:val="auto"/>
          <w:sz w:val="16"/>
          <w:szCs w:val="16"/>
        </w:rPr>
      </w:pP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b/>
          <w:color w:val="auto"/>
        </w:rPr>
      </w:pPr>
      <w:r w:rsidRPr="0046011E">
        <w:rPr>
          <w:rFonts w:ascii="Arial Narrow" w:hAnsi="Arial Narrow"/>
          <w:b/>
          <w:color w:val="auto"/>
        </w:rPr>
        <w:t xml:space="preserve">DA EMISSÃO DO HABITE-SE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46011E">
      <w:pPr>
        <w:pStyle w:val="Default"/>
        <w:tabs>
          <w:tab w:val="left" w:pos="567"/>
          <w:tab w:val="left" w:pos="851"/>
        </w:tabs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</w:t>
      </w:r>
      <w:proofErr w:type="gramStart"/>
      <w:r w:rsidRPr="00FB14F5">
        <w:rPr>
          <w:rFonts w:ascii="Arial Narrow" w:hAnsi="Arial Narrow"/>
          <w:b/>
          <w:bCs/>
          <w:color w:val="auto"/>
        </w:rPr>
        <w:t xml:space="preserve">20 </w:t>
      </w:r>
      <w:r w:rsidRPr="00FB14F5">
        <w:rPr>
          <w:rFonts w:ascii="Arial Narrow" w:hAnsi="Arial Narrow"/>
          <w:color w:val="auto"/>
        </w:rPr>
        <w:t>Efetuado</w:t>
      </w:r>
      <w:proofErr w:type="gramEnd"/>
      <w:r w:rsidRPr="00FB14F5">
        <w:rPr>
          <w:rFonts w:ascii="Arial Narrow" w:hAnsi="Arial Narrow"/>
          <w:color w:val="auto"/>
        </w:rPr>
        <w:t xml:space="preserve"> o pagamento do valor integral das multas, o requerente deverá apresentar o comprovante de quitação, após o processo de regularização será encaminhado ao Licenciamento para emissão do Habite-se.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21 </w:t>
      </w:r>
      <w:r w:rsidRPr="00FB14F5">
        <w:rPr>
          <w:rFonts w:ascii="Arial Narrow" w:hAnsi="Arial Narrow"/>
          <w:color w:val="auto"/>
        </w:rPr>
        <w:t xml:space="preserve">Para a emissão do "Habite-se", a fossa séptica, o filtro anaeróbio e o sumidouro deverão atender ao disposto no Plano Diretor de Desenvolvimento Urbano de Charqueadas, Código de Obras e </w:t>
      </w:r>
      <w:proofErr w:type="spellStart"/>
      <w:proofErr w:type="gramStart"/>
      <w:r w:rsidRPr="00FB14F5">
        <w:rPr>
          <w:rFonts w:ascii="Arial Narrow" w:hAnsi="Arial Narrow"/>
          <w:color w:val="auto"/>
        </w:rPr>
        <w:t>NBR`</w:t>
      </w:r>
      <w:proofErr w:type="spellEnd"/>
      <w:proofErr w:type="gramEnd"/>
      <w:r w:rsidRPr="00FB14F5">
        <w:rPr>
          <w:rFonts w:ascii="Arial Narrow" w:hAnsi="Arial Narrow"/>
          <w:color w:val="auto"/>
        </w:rPr>
        <w:t xml:space="preserve">s pertinentes, e a matrícula do imóvel, o Alvará do Corpo de Bombeiros e a Licença Ambiental deverão estar vigentes.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bCs/>
          <w:color w:val="auto"/>
        </w:rPr>
        <w:t xml:space="preserve">Art. 22 </w:t>
      </w:r>
      <w:r w:rsidRPr="00FB14F5">
        <w:rPr>
          <w:rFonts w:ascii="Arial Narrow" w:hAnsi="Arial Narrow"/>
          <w:color w:val="auto"/>
        </w:rPr>
        <w:t xml:space="preserve">No caso de regularização de edificações objeto de processo judicial, após o pagamento do valor integral das multas, o requerente deverá comparecer a Procuradoria Geral do Município para firmar Acordo Judicial, onde se responsabilizará pelo pagamento das custas processuais e dos honorários advocatícios. § 1º Somente após a homologação do acordo e o pagamento integral dos ônus processuais é que será emitido o Habite-se. </w:t>
      </w:r>
    </w:p>
    <w:p w:rsidR="00FB14F5" w:rsidRP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§ 2º A regularização da edificação, nos termos da presente Lei, não isenta o requerente do pagamento de multas ou indenizações judicialmente fixadas. </w:t>
      </w:r>
    </w:p>
    <w:p w:rsidR="00FB14F5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color w:val="auto"/>
        </w:rPr>
        <w:t xml:space="preserve">DISPOSIÇÕES FINAIS </w:t>
      </w:r>
    </w:p>
    <w:p w:rsidR="00FB14F5" w:rsidRPr="0046011E" w:rsidRDefault="00FB14F5" w:rsidP="00FB14F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6245AE" w:rsidRDefault="00FB14F5" w:rsidP="00FB14F5">
      <w:pPr>
        <w:pStyle w:val="Default"/>
        <w:jc w:val="both"/>
        <w:rPr>
          <w:rFonts w:ascii="Arial Narrow" w:hAnsi="Arial Narrow"/>
          <w:color w:val="auto"/>
        </w:rPr>
      </w:pPr>
      <w:r w:rsidRPr="00FB14F5">
        <w:rPr>
          <w:rFonts w:ascii="Arial Narrow" w:hAnsi="Arial Narrow"/>
          <w:b/>
          <w:color w:val="auto"/>
        </w:rPr>
        <w:t>Art. 23</w:t>
      </w:r>
      <w:r w:rsidRPr="00FB14F5">
        <w:rPr>
          <w:rFonts w:ascii="Arial Narrow" w:hAnsi="Arial Narrow"/>
          <w:color w:val="auto"/>
        </w:rPr>
        <w:t xml:space="preserve"> Os recursos provenientes das multas previstas na presente Lei serão destinados à execução de acessibilidade de prédios públicos e de passeios públicos acessíveis. </w:t>
      </w:r>
    </w:p>
    <w:p w:rsidR="006245AE" w:rsidRDefault="006245AE" w:rsidP="00FB14F5">
      <w:pPr>
        <w:pStyle w:val="Default"/>
        <w:jc w:val="both"/>
        <w:rPr>
          <w:rFonts w:ascii="Arial Narrow" w:hAnsi="Arial Narrow"/>
          <w:color w:val="auto"/>
        </w:rPr>
      </w:pPr>
    </w:p>
    <w:p w:rsidR="00FB14F5" w:rsidRDefault="00FB14F5" w:rsidP="00FB14F5">
      <w:pPr>
        <w:pStyle w:val="Default"/>
        <w:jc w:val="both"/>
        <w:rPr>
          <w:rFonts w:ascii="Arial Narrow" w:hAnsi="Arial Narrow"/>
          <w:b/>
          <w:bCs/>
          <w:color w:val="auto"/>
        </w:rPr>
      </w:pPr>
      <w:r w:rsidRPr="006245AE">
        <w:rPr>
          <w:rFonts w:ascii="Arial Narrow" w:hAnsi="Arial Narrow"/>
          <w:b/>
          <w:color w:val="auto"/>
        </w:rPr>
        <w:t>Art. 24</w:t>
      </w:r>
      <w:r w:rsidRPr="00FB14F5">
        <w:rPr>
          <w:rFonts w:ascii="Arial Narrow" w:hAnsi="Arial Narrow"/>
          <w:color w:val="auto"/>
        </w:rPr>
        <w:t xml:space="preserve"> Revogam-se as disposições em contrário</w:t>
      </w:r>
      <w:r w:rsidRPr="00FB14F5">
        <w:rPr>
          <w:rFonts w:ascii="Arial Narrow" w:hAnsi="Arial Narrow"/>
          <w:b/>
          <w:bCs/>
          <w:color w:val="auto"/>
        </w:rPr>
        <w:t xml:space="preserve">; </w:t>
      </w:r>
    </w:p>
    <w:p w:rsidR="00FB14F5" w:rsidRPr="009A2705" w:rsidRDefault="00FB14F5" w:rsidP="00FB14F5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</w:t>
      </w:r>
    </w:p>
    <w:p w:rsidR="00B3360C" w:rsidRPr="00FB14F5" w:rsidRDefault="00FB14F5" w:rsidP="00FB14F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r w:rsidR="00B3360C" w:rsidRPr="00FB14F5">
        <w:rPr>
          <w:rFonts w:ascii="Arial Narrow" w:hAnsi="Arial Narrow"/>
        </w:rPr>
        <w:t xml:space="preserve">Charqueadas, </w:t>
      </w:r>
      <w:r w:rsidR="006245AE">
        <w:rPr>
          <w:rFonts w:ascii="Arial Narrow" w:hAnsi="Arial Narrow"/>
        </w:rPr>
        <w:t>30</w:t>
      </w:r>
      <w:r w:rsidR="00B3360C" w:rsidRPr="00FB14F5">
        <w:rPr>
          <w:rFonts w:ascii="Arial Narrow" w:hAnsi="Arial Narrow"/>
        </w:rPr>
        <w:t xml:space="preserve"> de </w:t>
      </w:r>
      <w:r w:rsidR="004B3F78" w:rsidRPr="00FB14F5">
        <w:rPr>
          <w:rFonts w:ascii="Arial Narrow" w:hAnsi="Arial Narrow"/>
        </w:rPr>
        <w:t>abril</w:t>
      </w:r>
      <w:r w:rsidR="00B3360C" w:rsidRPr="00FB14F5">
        <w:rPr>
          <w:rFonts w:ascii="Arial Narrow" w:hAnsi="Arial Narrow"/>
        </w:rPr>
        <w:t xml:space="preserve"> de 201</w:t>
      </w:r>
      <w:r w:rsidR="005A004D" w:rsidRPr="00FB14F5">
        <w:rPr>
          <w:rFonts w:ascii="Arial Narrow" w:hAnsi="Arial Narrow"/>
        </w:rPr>
        <w:t>9</w:t>
      </w:r>
      <w:r w:rsidR="00B3360C" w:rsidRPr="00FB14F5">
        <w:rPr>
          <w:rFonts w:ascii="Arial Narrow" w:hAnsi="Arial Narrow"/>
        </w:rPr>
        <w:t>.</w:t>
      </w:r>
    </w:p>
    <w:p w:rsidR="002211DF" w:rsidRPr="00FB14F5" w:rsidRDefault="002211DF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D67CEF" w:rsidRDefault="00D67CEF" w:rsidP="00FB14F5">
      <w:pPr>
        <w:tabs>
          <w:tab w:val="left" w:pos="3440"/>
        </w:tabs>
        <w:jc w:val="center"/>
        <w:rPr>
          <w:rFonts w:ascii="Arial Narrow" w:hAnsi="Arial Narrow"/>
        </w:rPr>
      </w:pPr>
    </w:p>
    <w:p w:rsidR="009A2705" w:rsidRPr="009A2705" w:rsidRDefault="009A2705" w:rsidP="00FB14F5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B3360C" w:rsidRPr="00FB14F5" w:rsidRDefault="00B3360C" w:rsidP="00FB14F5">
      <w:pPr>
        <w:tabs>
          <w:tab w:val="left" w:pos="3440"/>
        </w:tabs>
        <w:jc w:val="center"/>
        <w:rPr>
          <w:rFonts w:ascii="Arial Narrow" w:hAnsi="Arial Narrow"/>
        </w:rPr>
      </w:pPr>
      <w:r w:rsidRPr="00FB14F5">
        <w:rPr>
          <w:rFonts w:ascii="Arial Narrow" w:hAnsi="Arial Narrow"/>
        </w:rPr>
        <w:t>SIMON HEBERLE DE SOUZA</w:t>
      </w:r>
    </w:p>
    <w:p w:rsidR="00A21FC0" w:rsidRPr="00FB14F5" w:rsidRDefault="00B3360C" w:rsidP="00FB14F5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B14F5">
        <w:rPr>
          <w:rFonts w:ascii="Arial Narrow" w:hAnsi="Arial Narrow"/>
        </w:rPr>
        <w:t>Prefeito Municipal</w:t>
      </w:r>
    </w:p>
    <w:sectPr w:rsidR="00A21FC0" w:rsidRPr="00FB14F5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CA" w:rsidRDefault="002823CA" w:rsidP="00EF5476">
      <w:r>
        <w:separator/>
      </w:r>
    </w:p>
  </w:endnote>
  <w:endnote w:type="continuationSeparator" w:id="1">
    <w:p w:rsidR="002823CA" w:rsidRDefault="002823CA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CA" w:rsidRDefault="002823CA" w:rsidP="00EF5476">
      <w:r>
        <w:separator/>
      </w:r>
    </w:p>
  </w:footnote>
  <w:footnote w:type="continuationSeparator" w:id="1">
    <w:p w:rsidR="002823CA" w:rsidRDefault="002823CA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54"/>
    <w:multiLevelType w:val="hybridMultilevel"/>
    <w:tmpl w:val="AB9646FC"/>
    <w:lvl w:ilvl="0" w:tplc="E0A6E5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27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28"/>
  </w:num>
  <w:num w:numId="26">
    <w:abstractNumId w:val="22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221F4"/>
    <w:rsid w:val="00024617"/>
    <w:rsid w:val="00035C79"/>
    <w:rsid w:val="00040384"/>
    <w:rsid w:val="00040924"/>
    <w:rsid w:val="00044841"/>
    <w:rsid w:val="000449F2"/>
    <w:rsid w:val="00044C1A"/>
    <w:rsid w:val="00053128"/>
    <w:rsid w:val="00056DF3"/>
    <w:rsid w:val="000605E8"/>
    <w:rsid w:val="000661F8"/>
    <w:rsid w:val="000B5E68"/>
    <w:rsid w:val="000B5FDA"/>
    <w:rsid w:val="000C082C"/>
    <w:rsid w:val="000D7E91"/>
    <w:rsid w:val="000E2413"/>
    <w:rsid w:val="00102B1F"/>
    <w:rsid w:val="00107EEA"/>
    <w:rsid w:val="00124396"/>
    <w:rsid w:val="001302C8"/>
    <w:rsid w:val="001605F2"/>
    <w:rsid w:val="001736F6"/>
    <w:rsid w:val="00197E3B"/>
    <w:rsid w:val="001B1B51"/>
    <w:rsid w:val="001B5723"/>
    <w:rsid w:val="001B703C"/>
    <w:rsid w:val="001D59C0"/>
    <w:rsid w:val="001D6174"/>
    <w:rsid w:val="001D658F"/>
    <w:rsid w:val="001E13F4"/>
    <w:rsid w:val="001E4AD2"/>
    <w:rsid w:val="0020190D"/>
    <w:rsid w:val="00214408"/>
    <w:rsid w:val="002211DF"/>
    <w:rsid w:val="00235AD5"/>
    <w:rsid w:val="00251820"/>
    <w:rsid w:val="0026750B"/>
    <w:rsid w:val="002734DE"/>
    <w:rsid w:val="0027797F"/>
    <w:rsid w:val="002823CA"/>
    <w:rsid w:val="00283878"/>
    <w:rsid w:val="00290547"/>
    <w:rsid w:val="00291417"/>
    <w:rsid w:val="00291F0C"/>
    <w:rsid w:val="002A7A29"/>
    <w:rsid w:val="002C19AF"/>
    <w:rsid w:val="002C659D"/>
    <w:rsid w:val="002C7B2C"/>
    <w:rsid w:val="002F2623"/>
    <w:rsid w:val="00302B56"/>
    <w:rsid w:val="00356929"/>
    <w:rsid w:val="0036531A"/>
    <w:rsid w:val="00371DA3"/>
    <w:rsid w:val="00372358"/>
    <w:rsid w:val="00376193"/>
    <w:rsid w:val="003805C8"/>
    <w:rsid w:val="003949CA"/>
    <w:rsid w:val="003D25AA"/>
    <w:rsid w:val="003E6BF4"/>
    <w:rsid w:val="00401242"/>
    <w:rsid w:val="004023CF"/>
    <w:rsid w:val="00410095"/>
    <w:rsid w:val="00411AF7"/>
    <w:rsid w:val="004123EC"/>
    <w:rsid w:val="00420D65"/>
    <w:rsid w:val="00425F71"/>
    <w:rsid w:val="00440E60"/>
    <w:rsid w:val="004453C8"/>
    <w:rsid w:val="0045056B"/>
    <w:rsid w:val="00451B1E"/>
    <w:rsid w:val="0045342F"/>
    <w:rsid w:val="0045493D"/>
    <w:rsid w:val="00457FB9"/>
    <w:rsid w:val="0046011E"/>
    <w:rsid w:val="004A6468"/>
    <w:rsid w:val="004B3F78"/>
    <w:rsid w:val="004C4B8C"/>
    <w:rsid w:val="004C6805"/>
    <w:rsid w:val="004D3A2B"/>
    <w:rsid w:val="004D4520"/>
    <w:rsid w:val="004E0F9D"/>
    <w:rsid w:val="004E2A5E"/>
    <w:rsid w:val="004E5AAA"/>
    <w:rsid w:val="00500FFE"/>
    <w:rsid w:val="00501241"/>
    <w:rsid w:val="00507159"/>
    <w:rsid w:val="00510AF8"/>
    <w:rsid w:val="00513687"/>
    <w:rsid w:val="00520D7B"/>
    <w:rsid w:val="005212B7"/>
    <w:rsid w:val="005266A5"/>
    <w:rsid w:val="00527AA9"/>
    <w:rsid w:val="005403F0"/>
    <w:rsid w:val="00544E48"/>
    <w:rsid w:val="00556A70"/>
    <w:rsid w:val="00566E4F"/>
    <w:rsid w:val="00567ED7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A004D"/>
    <w:rsid w:val="005A4C7B"/>
    <w:rsid w:val="005A6AAE"/>
    <w:rsid w:val="005B0EDC"/>
    <w:rsid w:val="005B48BC"/>
    <w:rsid w:val="005B5D1B"/>
    <w:rsid w:val="005C3D05"/>
    <w:rsid w:val="005C76DB"/>
    <w:rsid w:val="005D0815"/>
    <w:rsid w:val="005D1B77"/>
    <w:rsid w:val="005D6C7C"/>
    <w:rsid w:val="005E57DF"/>
    <w:rsid w:val="005F0ED8"/>
    <w:rsid w:val="00601356"/>
    <w:rsid w:val="00614E60"/>
    <w:rsid w:val="006245AE"/>
    <w:rsid w:val="00625F74"/>
    <w:rsid w:val="0063306E"/>
    <w:rsid w:val="006436AD"/>
    <w:rsid w:val="00644C5F"/>
    <w:rsid w:val="0065097B"/>
    <w:rsid w:val="00654B47"/>
    <w:rsid w:val="00660262"/>
    <w:rsid w:val="006604C4"/>
    <w:rsid w:val="00663318"/>
    <w:rsid w:val="00687C1F"/>
    <w:rsid w:val="006A1CBC"/>
    <w:rsid w:val="006A743F"/>
    <w:rsid w:val="006B2751"/>
    <w:rsid w:val="006D10BB"/>
    <w:rsid w:val="007012D9"/>
    <w:rsid w:val="00702E7D"/>
    <w:rsid w:val="0070414F"/>
    <w:rsid w:val="00704B4F"/>
    <w:rsid w:val="00712CAE"/>
    <w:rsid w:val="00712D63"/>
    <w:rsid w:val="00725753"/>
    <w:rsid w:val="00742A21"/>
    <w:rsid w:val="00746FEC"/>
    <w:rsid w:val="0074750C"/>
    <w:rsid w:val="007608D7"/>
    <w:rsid w:val="00764751"/>
    <w:rsid w:val="00773CE9"/>
    <w:rsid w:val="007850F1"/>
    <w:rsid w:val="00796A5C"/>
    <w:rsid w:val="007A06FB"/>
    <w:rsid w:val="007C1D12"/>
    <w:rsid w:val="007D5C65"/>
    <w:rsid w:val="007D7F14"/>
    <w:rsid w:val="007E5459"/>
    <w:rsid w:val="007F46DA"/>
    <w:rsid w:val="007F6AFE"/>
    <w:rsid w:val="00806289"/>
    <w:rsid w:val="0081119F"/>
    <w:rsid w:val="00821EE8"/>
    <w:rsid w:val="0082545E"/>
    <w:rsid w:val="00842B85"/>
    <w:rsid w:val="00844712"/>
    <w:rsid w:val="008545A4"/>
    <w:rsid w:val="00855C98"/>
    <w:rsid w:val="0086084D"/>
    <w:rsid w:val="008624E9"/>
    <w:rsid w:val="00863258"/>
    <w:rsid w:val="00872CEB"/>
    <w:rsid w:val="008829E0"/>
    <w:rsid w:val="00894BC1"/>
    <w:rsid w:val="008B60E9"/>
    <w:rsid w:val="008C03CE"/>
    <w:rsid w:val="008E4692"/>
    <w:rsid w:val="008F1493"/>
    <w:rsid w:val="008F773A"/>
    <w:rsid w:val="00906948"/>
    <w:rsid w:val="00925139"/>
    <w:rsid w:val="00925815"/>
    <w:rsid w:val="00951779"/>
    <w:rsid w:val="009579FE"/>
    <w:rsid w:val="00960692"/>
    <w:rsid w:val="0097163C"/>
    <w:rsid w:val="009800B3"/>
    <w:rsid w:val="0099246D"/>
    <w:rsid w:val="00993912"/>
    <w:rsid w:val="00996B21"/>
    <w:rsid w:val="009A2705"/>
    <w:rsid w:val="009A4233"/>
    <w:rsid w:val="009A6D64"/>
    <w:rsid w:val="009B346C"/>
    <w:rsid w:val="009C00CE"/>
    <w:rsid w:val="009C4B72"/>
    <w:rsid w:val="009E613F"/>
    <w:rsid w:val="009E78DA"/>
    <w:rsid w:val="00A05505"/>
    <w:rsid w:val="00A126AD"/>
    <w:rsid w:val="00A21FC0"/>
    <w:rsid w:val="00A24385"/>
    <w:rsid w:val="00A33A64"/>
    <w:rsid w:val="00A34C55"/>
    <w:rsid w:val="00A44255"/>
    <w:rsid w:val="00A517A0"/>
    <w:rsid w:val="00A540BC"/>
    <w:rsid w:val="00A54BB7"/>
    <w:rsid w:val="00A646EC"/>
    <w:rsid w:val="00A75B33"/>
    <w:rsid w:val="00A81072"/>
    <w:rsid w:val="00A94202"/>
    <w:rsid w:val="00AA6D1A"/>
    <w:rsid w:val="00AB0A75"/>
    <w:rsid w:val="00AB12C8"/>
    <w:rsid w:val="00AD2B10"/>
    <w:rsid w:val="00AE0D02"/>
    <w:rsid w:val="00AF14FB"/>
    <w:rsid w:val="00AF2E38"/>
    <w:rsid w:val="00AF4B56"/>
    <w:rsid w:val="00B14C57"/>
    <w:rsid w:val="00B22F49"/>
    <w:rsid w:val="00B32BAD"/>
    <w:rsid w:val="00B3360C"/>
    <w:rsid w:val="00B35DB9"/>
    <w:rsid w:val="00B70C93"/>
    <w:rsid w:val="00B83486"/>
    <w:rsid w:val="00B92529"/>
    <w:rsid w:val="00BA01EA"/>
    <w:rsid w:val="00BA42E0"/>
    <w:rsid w:val="00BC08AE"/>
    <w:rsid w:val="00BC167F"/>
    <w:rsid w:val="00BF039C"/>
    <w:rsid w:val="00BF2FDB"/>
    <w:rsid w:val="00BF4A79"/>
    <w:rsid w:val="00C173D3"/>
    <w:rsid w:val="00C4016A"/>
    <w:rsid w:val="00C53448"/>
    <w:rsid w:val="00C60DE2"/>
    <w:rsid w:val="00C65B6C"/>
    <w:rsid w:val="00C74863"/>
    <w:rsid w:val="00C75A2C"/>
    <w:rsid w:val="00C75B62"/>
    <w:rsid w:val="00C9329D"/>
    <w:rsid w:val="00CB2525"/>
    <w:rsid w:val="00CD28C4"/>
    <w:rsid w:val="00D00852"/>
    <w:rsid w:val="00D26149"/>
    <w:rsid w:val="00D31AB5"/>
    <w:rsid w:val="00D33ABA"/>
    <w:rsid w:val="00D50632"/>
    <w:rsid w:val="00D600C3"/>
    <w:rsid w:val="00D67CEF"/>
    <w:rsid w:val="00D67D6D"/>
    <w:rsid w:val="00D77D5B"/>
    <w:rsid w:val="00D80DDA"/>
    <w:rsid w:val="00D83EC6"/>
    <w:rsid w:val="00D909C6"/>
    <w:rsid w:val="00D92B30"/>
    <w:rsid w:val="00D95A1D"/>
    <w:rsid w:val="00DA0977"/>
    <w:rsid w:val="00DA107B"/>
    <w:rsid w:val="00DA5825"/>
    <w:rsid w:val="00DB1325"/>
    <w:rsid w:val="00DC0CEE"/>
    <w:rsid w:val="00DC4A4A"/>
    <w:rsid w:val="00DC5A1E"/>
    <w:rsid w:val="00DD10F3"/>
    <w:rsid w:val="00DD2F64"/>
    <w:rsid w:val="00DE4683"/>
    <w:rsid w:val="00DE52EA"/>
    <w:rsid w:val="00DF69AD"/>
    <w:rsid w:val="00E00A91"/>
    <w:rsid w:val="00E02C68"/>
    <w:rsid w:val="00E11CAB"/>
    <w:rsid w:val="00E1460E"/>
    <w:rsid w:val="00E1509A"/>
    <w:rsid w:val="00E1652A"/>
    <w:rsid w:val="00E1768C"/>
    <w:rsid w:val="00E226A4"/>
    <w:rsid w:val="00E30DAB"/>
    <w:rsid w:val="00E3582F"/>
    <w:rsid w:val="00E4550E"/>
    <w:rsid w:val="00E51B27"/>
    <w:rsid w:val="00E57D87"/>
    <w:rsid w:val="00E653A4"/>
    <w:rsid w:val="00E71278"/>
    <w:rsid w:val="00E77756"/>
    <w:rsid w:val="00E84F00"/>
    <w:rsid w:val="00E85513"/>
    <w:rsid w:val="00EB13AC"/>
    <w:rsid w:val="00EB45FB"/>
    <w:rsid w:val="00EB53F6"/>
    <w:rsid w:val="00EC6168"/>
    <w:rsid w:val="00EC6CEB"/>
    <w:rsid w:val="00ED58F4"/>
    <w:rsid w:val="00EE0DBA"/>
    <w:rsid w:val="00EE5224"/>
    <w:rsid w:val="00EF1DD4"/>
    <w:rsid w:val="00EF3E26"/>
    <w:rsid w:val="00EF5476"/>
    <w:rsid w:val="00F032BA"/>
    <w:rsid w:val="00F30075"/>
    <w:rsid w:val="00F30586"/>
    <w:rsid w:val="00F34AC1"/>
    <w:rsid w:val="00F34CED"/>
    <w:rsid w:val="00F449DF"/>
    <w:rsid w:val="00F51A47"/>
    <w:rsid w:val="00F61864"/>
    <w:rsid w:val="00F625B5"/>
    <w:rsid w:val="00F6439B"/>
    <w:rsid w:val="00F73B70"/>
    <w:rsid w:val="00F84B2E"/>
    <w:rsid w:val="00F87ED7"/>
    <w:rsid w:val="00F917AD"/>
    <w:rsid w:val="00FA34A6"/>
    <w:rsid w:val="00FA6B53"/>
    <w:rsid w:val="00FA6C7B"/>
    <w:rsid w:val="00FB14F5"/>
    <w:rsid w:val="00FB67B3"/>
    <w:rsid w:val="00FC689B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FB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01A5-FE6B-498F-A725-0450579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2276</Words>
  <Characters>12291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7</cp:revision>
  <cp:lastPrinted>2019-04-30T15:52:00Z</cp:lastPrinted>
  <dcterms:created xsi:type="dcterms:W3CDTF">2019-04-30T16:25:00Z</dcterms:created>
  <dcterms:modified xsi:type="dcterms:W3CDTF">2019-04-30T17:49:00Z</dcterms:modified>
</cp:coreProperties>
</file>