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69" w:rsidRDefault="00276B9C">
      <w:pPr>
        <w:pStyle w:val="SemEspaamento"/>
        <w:ind w:right="567"/>
        <w:jc w:val="center"/>
        <w:rPr>
          <w:rFonts w:ascii="Verdana" w:hAnsi="Verdana"/>
          <w:b/>
          <w:sz w:val="24"/>
          <w:szCs w:val="24"/>
          <w:u w:val="single"/>
        </w:rPr>
      </w:pPr>
      <w:bookmarkStart w:id="0" w:name="_GoBack"/>
      <w:bookmarkEnd w:id="0"/>
      <w:r>
        <w:rPr>
          <w:rFonts w:ascii="Verdana" w:hAnsi="Verdana"/>
          <w:b/>
          <w:sz w:val="24"/>
          <w:szCs w:val="24"/>
          <w:u w:val="single"/>
        </w:rPr>
        <w:t>PROJETO DE LEI LEGISLATIVO Nº 056</w:t>
      </w:r>
      <w:r>
        <w:rPr>
          <w:rFonts w:ascii="Verdana" w:hAnsi="Verdana"/>
          <w:b/>
          <w:sz w:val="24"/>
          <w:szCs w:val="24"/>
          <w:u w:val="single"/>
        </w:rPr>
        <w:t>/2021</w:t>
      </w:r>
    </w:p>
    <w:p w:rsidR="00D03969" w:rsidRDefault="00D03969">
      <w:pPr>
        <w:pStyle w:val="SemEspaamento"/>
        <w:ind w:right="567"/>
        <w:rPr>
          <w:rFonts w:ascii="Verdana" w:hAnsi="Verdana"/>
          <w:sz w:val="24"/>
          <w:szCs w:val="24"/>
        </w:rPr>
      </w:pPr>
    </w:p>
    <w:p w:rsidR="00D03969" w:rsidRDefault="00D03969">
      <w:pPr>
        <w:pStyle w:val="SemEspaamento"/>
        <w:ind w:right="567"/>
        <w:rPr>
          <w:rFonts w:ascii="Verdana" w:hAnsi="Verdana"/>
          <w:sz w:val="24"/>
          <w:szCs w:val="24"/>
        </w:rPr>
      </w:pPr>
    </w:p>
    <w:p w:rsidR="00D03969" w:rsidRDefault="00D03969">
      <w:pPr>
        <w:pStyle w:val="SemEspaamento"/>
        <w:ind w:right="567"/>
        <w:rPr>
          <w:rFonts w:ascii="Verdana" w:hAnsi="Verdana"/>
          <w:sz w:val="24"/>
          <w:szCs w:val="24"/>
        </w:rPr>
      </w:pPr>
    </w:p>
    <w:p w:rsidR="00D03969" w:rsidRDefault="00276B9C">
      <w:pPr>
        <w:pStyle w:val="SemEspaamento"/>
        <w:ind w:right="567"/>
        <w:rPr>
          <w:rFonts w:ascii="Verdana" w:hAnsi="Verdana"/>
        </w:rPr>
      </w:pPr>
      <w:r>
        <w:rPr>
          <w:rFonts w:ascii="Verdana" w:hAnsi="Verdana"/>
        </w:rPr>
        <w:t xml:space="preserve">                                                              “Institui campanha do IPVA no município </w:t>
      </w:r>
    </w:p>
    <w:p w:rsidR="00D03969" w:rsidRDefault="00276B9C">
      <w:pPr>
        <w:pStyle w:val="SemEspaamento"/>
        <w:ind w:right="567"/>
        <w:rPr>
          <w:rFonts w:ascii="Verdana" w:hAnsi="Verdana"/>
        </w:rPr>
      </w:pPr>
      <w:proofErr w:type="gramStart"/>
      <w:r>
        <w:rPr>
          <w:rFonts w:ascii="Verdana" w:hAnsi="Verdana"/>
        </w:rPr>
        <w:t>e</w:t>
      </w:r>
      <w:proofErr w:type="gramEnd"/>
      <w:r>
        <w:rPr>
          <w:rFonts w:ascii="Verdana" w:hAnsi="Verdana"/>
        </w:rPr>
        <w:t xml:space="preserve"> da outras Providencias”</w:t>
      </w:r>
    </w:p>
    <w:p w:rsidR="00D03969" w:rsidRDefault="00D03969">
      <w:pPr>
        <w:pStyle w:val="SemEspaamento"/>
        <w:ind w:right="567"/>
        <w:jc w:val="both"/>
        <w:rPr>
          <w:rFonts w:ascii="Verdana" w:hAnsi="Verdana"/>
          <w:sz w:val="24"/>
          <w:szCs w:val="24"/>
        </w:rPr>
      </w:pPr>
    </w:p>
    <w:p w:rsidR="00D03969" w:rsidRDefault="00D03969">
      <w:pPr>
        <w:pStyle w:val="SemEspaamento"/>
        <w:ind w:right="567"/>
        <w:jc w:val="both"/>
        <w:rPr>
          <w:rFonts w:ascii="Verdana" w:hAnsi="Verdana"/>
          <w:sz w:val="24"/>
          <w:szCs w:val="24"/>
        </w:rPr>
      </w:pPr>
    </w:p>
    <w:p w:rsidR="00D03969" w:rsidRDefault="00D03969">
      <w:pPr>
        <w:pStyle w:val="SemEspaamento"/>
        <w:ind w:right="567"/>
        <w:jc w:val="both"/>
        <w:rPr>
          <w:rFonts w:ascii="Verdana" w:hAnsi="Verdana"/>
          <w:sz w:val="24"/>
          <w:szCs w:val="24"/>
        </w:rPr>
      </w:pPr>
    </w:p>
    <w:p w:rsidR="00D03969" w:rsidRDefault="00276B9C">
      <w:pPr>
        <w:pStyle w:val="SemEspaamento"/>
        <w:ind w:left="567" w:right="567"/>
        <w:jc w:val="both"/>
        <w:rPr>
          <w:rFonts w:ascii="Verdana" w:hAnsi="Verdana"/>
          <w:sz w:val="24"/>
          <w:szCs w:val="24"/>
        </w:rPr>
      </w:pPr>
      <w:r>
        <w:rPr>
          <w:rFonts w:ascii="Verdana" w:hAnsi="Verdana"/>
          <w:b/>
          <w:sz w:val="24"/>
          <w:szCs w:val="24"/>
        </w:rPr>
        <w:t>Art. 1º</w:t>
      </w:r>
      <w:r>
        <w:rPr>
          <w:rFonts w:ascii="Verdana" w:hAnsi="Verdana"/>
          <w:sz w:val="24"/>
          <w:szCs w:val="24"/>
        </w:rPr>
        <w:t xml:space="preserve"> - Fica o poder Executivo Municipal autorizado a instituir a Campanha de Transferência de Emplacamentos de Veículos, de propriedade de cidadãos municipais, para o Município de Charqueadas, visando aumento na participação da arrecadação de IPVA.</w:t>
      </w:r>
    </w:p>
    <w:p w:rsidR="00D03969" w:rsidRDefault="00D03969">
      <w:pPr>
        <w:pStyle w:val="SemEspaamento"/>
        <w:ind w:left="567" w:right="567"/>
        <w:jc w:val="both"/>
        <w:rPr>
          <w:rFonts w:ascii="Verdana" w:hAnsi="Verdana"/>
          <w:sz w:val="24"/>
          <w:szCs w:val="24"/>
        </w:rPr>
      </w:pPr>
    </w:p>
    <w:p w:rsidR="00D03969" w:rsidRDefault="00276B9C">
      <w:pPr>
        <w:pStyle w:val="SemEspaamento"/>
        <w:ind w:left="567" w:right="567"/>
        <w:jc w:val="both"/>
        <w:rPr>
          <w:rFonts w:ascii="Verdana" w:hAnsi="Verdana"/>
          <w:sz w:val="24"/>
          <w:szCs w:val="24"/>
        </w:rPr>
      </w:pPr>
      <w:r>
        <w:rPr>
          <w:rFonts w:ascii="Verdana" w:hAnsi="Verdana"/>
          <w:b/>
          <w:sz w:val="24"/>
          <w:szCs w:val="24"/>
        </w:rPr>
        <w:t>Art. 2º</w:t>
      </w:r>
      <w:r>
        <w:rPr>
          <w:rFonts w:ascii="Verdana" w:hAnsi="Verdana"/>
          <w:sz w:val="24"/>
          <w:szCs w:val="24"/>
        </w:rPr>
        <w:t xml:space="preserve"> - </w:t>
      </w:r>
      <w:r>
        <w:rPr>
          <w:rFonts w:ascii="Verdana" w:hAnsi="Verdana"/>
          <w:sz w:val="24"/>
          <w:szCs w:val="24"/>
        </w:rPr>
        <w:t xml:space="preserve">Fica autorizado o Poder Executivo Municipal a custear as taxas de transferência prevista no art. 1º, cobradas pelos órgãos de trânsito, em benefício dos proprietários de veículos que residirem no Município de Charqueadas, cujo veículo esteja registrado em </w:t>
      </w:r>
      <w:r>
        <w:rPr>
          <w:rFonts w:ascii="Verdana" w:hAnsi="Verdana"/>
          <w:sz w:val="24"/>
          <w:szCs w:val="24"/>
        </w:rPr>
        <w:t xml:space="preserve">outro município do Estado do Rio Grande do Sul, bem como fornecer a plaqueta de dominação do município. </w:t>
      </w:r>
    </w:p>
    <w:p w:rsidR="00D03969" w:rsidRDefault="00D03969">
      <w:pPr>
        <w:pStyle w:val="SemEspaamento"/>
        <w:ind w:left="567" w:right="567"/>
        <w:jc w:val="both"/>
        <w:rPr>
          <w:rFonts w:ascii="Verdana" w:hAnsi="Verdana"/>
          <w:sz w:val="24"/>
          <w:szCs w:val="24"/>
        </w:rPr>
      </w:pPr>
    </w:p>
    <w:p w:rsidR="00D03969" w:rsidRDefault="00276B9C">
      <w:pPr>
        <w:pStyle w:val="SemEspaamento"/>
        <w:ind w:left="567" w:right="567"/>
        <w:jc w:val="both"/>
        <w:rPr>
          <w:rFonts w:ascii="Verdana" w:hAnsi="Verdana"/>
          <w:sz w:val="24"/>
          <w:szCs w:val="24"/>
        </w:rPr>
      </w:pPr>
      <w:r>
        <w:rPr>
          <w:rFonts w:ascii="Verdana" w:hAnsi="Verdana"/>
          <w:b/>
          <w:sz w:val="24"/>
          <w:szCs w:val="24"/>
        </w:rPr>
        <w:t xml:space="preserve">Parágrafo Único. </w:t>
      </w:r>
      <w:r>
        <w:rPr>
          <w:rFonts w:ascii="Verdana" w:hAnsi="Verdana"/>
          <w:sz w:val="24"/>
          <w:szCs w:val="24"/>
        </w:rPr>
        <w:t xml:space="preserve">O ressarcimento das despesas contraídas pelo </w:t>
      </w:r>
      <w:proofErr w:type="gramStart"/>
      <w:r>
        <w:rPr>
          <w:rFonts w:ascii="Verdana" w:hAnsi="Verdana"/>
          <w:sz w:val="24"/>
          <w:szCs w:val="24"/>
        </w:rPr>
        <w:t>cidadão</w:t>
      </w:r>
      <w:proofErr w:type="gramEnd"/>
      <w:r>
        <w:rPr>
          <w:rFonts w:ascii="Verdana" w:hAnsi="Verdana"/>
          <w:sz w:val="24"/>
          <w:szCs w:val="24"/>
        </w:rPr>
        <w:t xml:space="preserve"> beneficiário será efetuado somente após o pagamento do IPVA, imediatamente poste</w:t>
      </w:r>
      <w:r>
        <w:rPr>
          <w:rFonts w:ascii="Verdana" w:hAnsi="Verdana"/>
          <w:sz w:val="24"/>
          <w:szCs w:val="24"/>
        </w:rPr>
        <w:t xml:space="preserve">rior ao da transferência do emplacamento, a requerimento da parte interessa no prazo de 90 (noventa) dias, desde que o requerente esteja em dia com tributos municipais. </w:t>
      </w:r>
    </w:p>
    <w:p w:rsidR="00D03969" w:rsidRDefault="00D03969">
      <w:pPr>
        <w:pStyle w:val="SemEspaamento"/>
        <w:ind w:right="567"/>
        <w:jc w:val="both"/>
        <w:rPr>
          <w:rFonts w:ascii="Verdana" w:hAnsi="Verdana"/>
          <w:b/>
          <w:sz w:val="24"/>
          <w:szCs w:val="24"/>
        </w:rPr>
      </w:pPr>
    </w:p>
    <w:p w:rsidR="00D03969" w:rsidRDefault="00276B9C">
      <w:pPr>
        <w:pStyle w:val="SemEspaamento"/>
        <w:ind w:left="567" w:right="567"/>
        <w:jc w:val="both"/>
        <w:rPr>
          <w:rFonts w:ascii="Verdana" w:hAnsi="Verdana"/>
          <w:sz w:val="24"/>
          <w:szCs w:val="24"/>
        </w:rPr>
      </w:pPr>
      <w:r>
        <w:rPr>
          <w:rFonts w:ascii="Verdana" w:hAnsi="Verdana"/>
          <w:b/>
          <w:sz w:val="24"/>
          <w:szCs w:val="24"/>
        </w:rPr>
        <w:t>Art. 3º</w:t>
      </w:r>
      <w:r>
        <w:rPr>
          <w:rFonts w:ascii="Verdana" w:hAnsi="Verdana"/>
          <w:sz w:val="24"/>
          <w:szCs w:val="24"/>
        </w:rPr>
        <w:t xml:space="preserve"> - O proprietário de veiculo interessado em atualizar seu endereço de emplacam</w:t>
      </w:r>
      <w:r>
        <w:rPr>
          <w:rFonts w:ascii="Verdana" w:hAnsi="Verdana"/>
          <w:sz w:val="24"/>
          <w:szCs w:val="24"/>
        </w:rPr>
        <w:t>ento para este Município deverá solicitar a Secretaria Municipal da Fazenda, acompanhado dos seguintes documentos:</w:t>
      </w:r>
    </w:p>
    <w:p w:rsidR="00D03969" w:rsidRDefault="00D03969">
      <w:pPr>
        <w:pStyle w:val="SemEspaamento"/>
        <w:ind w:left="567" w:right="567"/>
        <w:jc w:val="both"/>
        <w:rPr>
          <w:rFonts w:ascii="Verdana" w:hAnsi="Verdana"/>
          <w:sz w:val="24"/>
          <w:szCs w:val="24"/>
        </w:rPr>
      </w:pPr>
    </w:p>
    <w:p w:rsidR="00D03969" w:rsidRDefault="00276B9C">
      <w:pPr>
        <w:pStyle w:val="SemEspaamento"/>
        <w:ind w:left="567" w:right="567"/>
        <w:jc w:val="both"/>
        <w:rPr>
          <w:rFonts w:ascii="Verdana" w:hAnsi="Verdana"/>
          <w:sz w:val="24"/>
          <w:szCs w:val="24"/>
        </w:rPr>
      </w:pPr>
      <w:r>
        <w:rPr>
          <w:rFonts w:ascii="Verdana" w:hAnsi="Verdana"/>
          <w:sz w:val="24"/>
          <w:szCs w:val="24"/>
        </w:rPr>
        <w:t>I – Certificado de propriedade (CRV);</w:t>
      </w:r>
    </w:p>
    <w:p w:rsidR="00D03969" w:rsidRDefault="00D03969">
      <w:pPr>
        <w:pStyle w:val="SemEspaamento"/>
        <w:ind w:left="567" w:right="567"/>
        <w:jc w:val="both"/>
        <w:rPr>
          <w:rFonts w:ascii="Verdana" w:hAnsi="Verdana"/>
          <w:sz w:val="24"/>
          <w:szCs w:val="24"/>
        </w:rPr>
      </w:pPr>
    </w:p>
    <w:p w:rsidR="00D03969" w:rsidRDefault="00276B9C">
      <w:pPr>
        <w:pStyle w:val="SemEspaamento"/>
        <w:ind w:left="567" w:right="567"/>
        <w:jc w:val="both"/>
        <w:rPr>
          <w:rFonts w:ascii="Verdana" w:hAnsi="Verdana"/>
          <w:sz w:val="24"/>
          <w:szCs w:val="24"/>
        </w:rPr>
      </w:pPr>
      <w:r>
        <w:rPr>
          <w:rFonts w:ascii="Verdana" w:hAnsi="Verdana"/>
          <w:sz w:val="24"/>
          <w:szCs w:val="24"/>
        </w:rPr>
        <w:t>II – Fotocópia da Carteira de Identidade (RG) e do CPF;</w:t>
      </w:r>
    </w:p>
    <w:p w:rsidR="00D03969" w:rsidRDefault="00D03969">
      <w:pPr>
        <w:pStyle w:val="SemEspaamento"/>
        <w:ind w:left="567" w:right="567"/>
        <w:jc w:val="both"/>
        <w:rPr>
          <w:rFonts w:ascii="Verdana" w:hAnsi="Verdana"/>
          <w:sz w:val="24"/>
          <w:szCs w:val="24"/>
        </w:rPr>
      </w:pPr>
    </w:p>
    <w:p w:rsidR="00D03969" w:rsidRDefault="00276B9C">
      <w:pPr>
        <w:pStyle w:val="SemEspaamento"/>
        <w:ind w:left="567" w:right="567"/>
        <w:jc w:val="both"/>
        <w:rPr>
          <w:rFonts w:ascii="Verdana" w:hAnsi="Verdana"/>
          <w:sz w:val="24"/>
          <w:szCs w:val="24"/>
        </w:rPr>
      </w:pPr>
      <w:r>
        <w:rPr>
          <w:rFonts w:ascii="Verdana" w:hAnsi="Verdana"/>
          <w:sz w:val="24"/>
          <w:szCs w:val="24"/>
        </w:rPr>
        <w:t>III – Comprovante de endereço mediante apres</w:t>
      </w:r>
      <w:r>
        <w:rPr>
          <w:rFonts w:ascii="Verdana" w:hAnsi="Verdana"/>
          <w:sz w:val="24"/>
          <w:szCs w:val="24"/>
        </w:rPr>
        <w:t>entação de contas de água, luz ou telefone.</w:t>
      </w:r>
    </w:p>
    <w:p w:rsidR="00D03969" w:rsidRDefault="00D03969">
      <w:pPr>
        <w:pStyle w:val="SemEspaamento"/>
        <w:ind w:right="567"/>
        <w:jc w:val="both"/>
        <w:rPr>
          <w:rFonts w:ascii="Verdana" w:hAnsi="Verdana"/>
          <w:sz w:val="24"/>
          <w:szCs w:val="24"/>
        </w:rPr>
      </w:pPr>
    </w:p>
    <w:p w:rsidR="00D03969" w:rsidRDefault="00276B9C">
      <w:pPr>
        <w:pStyle w:val="SemEspaamento"/>
        <w:ind w:left="567" w:right="567"/>
        <w:jc w:val="both"/>
        <w:rPr>
          <w:rFonts w:ascii="Verdana" w:hAnsi="Verdana"/>
          <w:sz w:val="24"/>
          <w:szCs w:val="24"/>
        </w:rPr>
      </w:pPr>
      <w:r>
        <w:rPr>
          <w:rFonts w:ascii="Verdana" w:hAnsi="Verdana"/>
          <w:b/>
          <w:sz w:val="24"/>
          <w:szCs w:val="24"/>
        </w:rPr>
        <w:t>Art. 4º</w:t>
      </w:r>
      <w:r>
        <w:rPr>
          <w:rFonts w:ascii="Verdana" w:hAnsi="Verdana"/>
          <w:sz w:val="24"/>
          <w:szCs w:val="24"/>
        </w:rPr>
        <w:t xml:space="preserve"> - Para os efeitos desta lei somente serão considerados aptos a receber o incentivo alcançado por esta lei os proprietários de veículos com o ano de fabricação não superior a 10 (dez) anos. </w:t>
      </w:r>
    </w:p>
    <w:p w:rsidR="00D03969" w:rsidRDefault="00D03969">
      <w:pPr>
        <w:pStyle w:val="SemEspaamento"/>
        <w:ind w:left="567" w:right="567"/>
        <w:jc w:val="both"/>
        <w:rPr>
          <w:rFonts w:ascii="Verdana" w:hAnsi="Verdana"/>
          <w:b/>
          <w:sz w:val="24"/>
          <w:szCs w:val="24"/>
        </w:rPr>
      </w:pPr>
    </w:p>
    <w:p w:rsidR="00D03969" w:rsidRDefault="00276B9C">
      <w:pPr>
        <w:pStyle w:val="SemEspaamento"/>
        <w:ind w:left="567" w:right="567"/>
        <w:jc w:val="both"/>
        <w:rPr>
          <w:rFonts w:ascii="Verdana" w:hAnsi="Verdana"/>
          <w:sz w:val="24"/>
          <w:szCs w:val="24"/>
        </w:rPr>
      </w:pPr>
      <w:r>
        <w:rPr>
          <w:rFonts w:ascii="Verdana" w:hAnsi="Verdana"/>
          <w:b/>
          <w:sz w:val="24"/>
          <w:szCs w:val="24"/>
        </w:rPr>
        <w:lastRenderedPageBreak/>
        <w:t>Art. 5º</w:t>
      </w:r>
      <w:r>
        <w:rPr>
          <w:rFonts w:ascii="Verdana" w:hAnsi="Verdana"/>
          <w:sz w:val="24"/>
          <w:szCs w:val="24"/>
        </w:rPr>
        <w:t xml:space="preserve"> - Esta lei entrará em vigor na data de sua publicação, revogadas as disposições em contrário.</w:t>
      </w:r>
    </w:p>
    <w:p w:rsidR="00D03969" w:rsidRDefault="00D03969">
      <w:pPr>
        <w:pStyle w:val="SemEspaamento"/>
        <w:ind w:left="567" w:right="567"/>
        <w:jc w:val="both"/>
        <w:rPr>
          <w:rFonts w:ascii="Verdana" w:hAnsi="Verdana"/>
          <w:sz w:val="24"/>
          <w:szCs w:val="24"/>
        </w:rPr>
      </w:pPr>
    </w:p>
    <w:p w:rsidR="00D03969" w:rsidRDefault="00D03969">
      <w:pPr>
        <w:pStyle w:val="Corpodetexto21"/>
        <w:ind w:right="567"/>
        <w:rPr>
          <w:rFonts w:ascii="Verdana" w:eastAsia="Century Gothic" w:hAnsi="Verdana"/>
          <w:b/>
          <w:bCs/>
          <w:color w:val="000000"/>
          <w:sz w:val="24"/>
        </w:rPr>
      </w:pPr>
    </w:p>
    <w:p w:rsidR="00D03969" w:rsidRDefault="00D03969">
      <w:pPr>
        <w:pStyle w:val="Corpodetexto21"/>
        <w:ind w:right="567"/>
        <w:rPr>
          <w:rFonts w:ascii="Verdana" w:eastAsia="Century Gothic" w:hAnsi="Verdana"/>
          <w:b/>
          <w:bCs/>
          <w:color w:val="000000"/>
          <w:sz w:val="24"/>
        </w:rPr>
      </w:pPr>
    </w:p>
    <w:p w:rsidR="00D03969" w:rsidRDefault="00276B9C">
      <w:pPr>
        <w:pStyle w:val="Corpodetexto21"/>
        <w:ind w:right="567"/>
        <w:rPr>
          <w:rFonts w:ascii="Verdana" w:eastAsia="Century Gothic" w:hAnsi="Verdana"/>
          <w:bCs/>
          <w:color w:val="000000"/>
          <w:sz w:val="24"/>
        </w:rPr>
      </w:pPr>
      <w:r>
        <w:rPr>
          <w:rFonts w:ascii="Verdana" w:eastAsia="Century Gothic" w:hAnsi="Verdana"/>
          <w:bCs/>
          <w:color w:val="000000"/>
          <w:sz w:val="24"/>
        </w:rPr>
        <w:t>Charqueadas, 29 de Novembro de 2021.</w:t>
      </w:r>
    </w:p>
    <w:p w:rsidR="00D03969" w:rsidRDefault="00D03969">
      <w:pPr>
        <w:pStyle w:val="Corpodetexto21"/>
        <w:ind w:right="567"/>
        <w:rPr>
          <w:rFonts w:ascii="Verdana" w:eastAsia="Century Gothic" w:hAnsi="Verdana"/>
          <w:bCs/>
          <w:color w:val="000000"/>
          <w:sz w:val="24"/>
        </w:rPr>
      </w:pPr>
    </w:p>
    <w:p w:rsidR="00D03969" w:rsidRDefault="00D03969">
      <w:pPr>
        <w:pStyle w:val="Corpodetexto21"/>
        <w:ind w:right="567"/>
        <w:rPr>
          <w:rFonts w:ascii="Verdana" w:eastAsia="Century Gothic" w:hAnsi="Verdana"/>
          <w:bCs/>
          <w:color w:val="000000"/>
          <w:sz w:val="24"/>
        </w:rPr>
      </w:pPr>
    </w:p>
    <w:p w:rsidR="00D03969" w:rsidRDefault="00D03969">
      <w:pPr>
        <w:pStyle w:val="Corpodetexto21"/>
        <w:ind w:right="567"/>
        <w:rPr>
          <w:rFonts w:ascii="Verdana" w:eastAsia="Century Gothic" w:hAnsi="Verdana"/>
          <w:bCs/>
          <w:color w:val="000000"/>
          <w:sz w:val="24"/>
        </w:rPr>
      </w:pPr>
    </w:p>
    <w:p w:rsidR="00D03969" w:rsidRDefault="00276B9C">
      <w:pPr>
        <w:pStyle w:val="Corpodetexto21"/>
        <w:ind w:right="-3763"/>
        <w:rPr>
          <w:rFonts w:ascii="Verdana" w:eastAsia="Century Gothic" w:hAnsi="Verdana" w:cs="Century Gothic"/>
          <w:b/>
          <w:bCs/>
          <w:color w:val="000000"/>
          <w:sz w:val="24"/>
        </w:rPr>
      </w:pPr>
      <w:r>
        <w:rPr>
          <w:rFonts w:ascii="Verdana" w:eastAsia="Century Gothic" w:hAnsi="Verdana" w:cs="Century Gothic"/>
          <w:b/>
          <w:bCs/>
          <w:color w:val="000000"/>
          <w:sz w:val="24"/>
        </w:rPr>
        <w:t>__________________________</w:t>
      </w:r>
    </w:p>
    <w:p w:rsidR="00D03969" w:rsidRDefault="00276B9C">
      <w:pPr>
        <w:pStyle w:val="Corpodetexto21"/>
        <w:ind w:right="-3763"/>
        <w:jc w:val="left"/>
        <w:rPr>
          <w:rFonts w:ascii="Verdana" w:hAnsi="Verdana"/>
          <w:b/>
          <w:color w:val="000000"/>
          <w:sz w:val="24"/>
        </w:rPr>
      </w:pPr>
      <w:r>
        <w:rPr>
          <w:rFonts w:ascii="Verdana" w:hAnsi="Verdana"/>
          <w:b/>
          <w:color w:val="000000"/>
          <w:sz w:val="24"/>
        </w:rPr>
        <w:t xml:space="preserve">Vereador Rafael Divino </w:t>
      </w:r>
    </w:p>
    <w:p w:rsidR="00D03969" w:rsidRDefault="00D03969">
      <w:pPr>
        <w:sectPr w:rsidR="00D03969">
          <w:headerReference w:type="default" r:id="rId6"/>
          <w:footerReference w:type="default" r:id="rId7"/>
          <w:pgSz w:w="11906" w:h="16838"/>
          <w:pgMar w:top="1417" w:right="991" w:bottom="1417" w:left="993" w:header="720" w:footer="720" w:gutter="0"/>
          <w:cols w:space="720"/>
          <w:formProt w:val="0"/>
          <w:docGrid w:linePitch="600" w:charSpace="32768"/>
        </w:sectPr>
      </w:pPr>
    </w:p>
    <w:p w:rsidR="00D03969" w:rsidRDefault="0027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rPr>
          <w:rFonts w:ascii="Verdana" w:eastAsia="Times New Roman" w:hAnsi="Verdana"/>
          <w:b/>
          <w:color w:val="010101"/>
        </w:rPr>
      </w:pPr>
      <w:r>
        <w:rPr>
          <w:rFonts w:ascii="Verdana" w:eastAsia="Times New Roman" w:hAnsi="Verdana"/>
          <w:b/>
          <w:color w:val="010101"/>
        </w:rPr>
        <w:lastRenderedPageBreak/>
        <w:t>MDB</w:t>
      </w:r>
    </w:p>
    <w:sectPr w:rsidR="00D03969" w:rsidSect="00D03969">
      <w:type w:val="continuous"/>
      <w:pgSz w:w="11906" w:h="16838"/>
      <w:pgMar w:top="1417" w:right="991" w:bottom="1417" w:left="993" w:header="720"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69" w:rsidRDefault="00D03969" w:rsidP="00D03969">
      <w:r>
        <w:separator/>
      </w:r>
    </w:p>
  </w:endnote>
  <w:endnote w:type="continuationSeparator" w:id="1">
    <w:p w:rsidR="00D03969" w:rsidRDefault="00D03969" w:rsidP="00D03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69" w:rsidRDefault="00276B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center"/>
      <w:rPr>
        <w:rFonts w:eastAsia="Times New Roman"/>
        <w:color w:val="010101"/>
        <w:szCs w:val="28"/>
      </w:rPr>
    </w:pPr>
    <w:r>
      <w:rPr>
        <w:rFonts w:eastAsia="Times New Roman"/>
        <w:color w:val="010101"/>
        <w:szCs w:val="28"/>
      </w:rPr>
      <w:t xml:space="preserve">“DOE ORGÃOS, DOE SANGUE: SALVE </w:t>
    </w:r>
    <w:proofErr w:type="gramStart"/>
    <w:r>
      <w:rPr>
        <w:rFonts w:eastAsia="Times New Roman"/>
        <w:color w:val="010101"/>
        <w:szCs w:val="28"/>
      </w:rPr>
      <w:t>VIDAS !</w:t>
    </w:r>
    <w:proofErr w:type="gramEnd"/>
    <w:r>
      <w:rPr>
        <w:rFonts w:eastAsia="Times New Roman"/>
        <w:color w:val="010101"/>
        <w:szCs w:val="28"/>
      </w:rPr>
      <w:t>!!”</w:t>
    </w:r>
  </w:p>
  <w:p w:rsidR="00D03969" w:rsidRDefault="00D03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69" w:rsidRDefault="00D03969" w:rsidP="00D03969">
      <w:r>
        <w:separator/>
      </w:r>
    </w:p>
  </w:footnote>
  <w:footnote w:type="continuationSeparator" w:id="1">
    <w:p w:rsidR="00D03969" w:rsidRDefault="00D03969" w:rsidP="00D03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69" w:rsidRDefault="00276B9C">
    <w:pPr>
      <w:ind w:right="1134"/>
      <w:jc w:val="center"/>
      <w:rPr>
        <w:sz w:val="22"/>
        <w:szCs w:val="22"/>
      </w:rPr>
    </w:pPr>
    <w:r>
      <w:rPr>
        <w:noProof/>
        <w:lang w:eastAsia="pt-BR"/>
      </w:rPr>
      <w:drawing>
        <wp:anchor distT="0" distB="0" distL="114935" distR="114935" simplePos="0" relativeHeight="3" behindDoc="1" locked="0" layoutInCell="0" allowOverlap="1">
          <wp:simplePos x="0" y="0"/>
          <wp:positionH relativeFrom="column">
            <wp:posOffset>423545</wp:posOffset>
          </wp:positionH>
          <wp:positionV relativeFrom="paragraph">
            <wp:posOffset>-193040</wp:posOffset>
          </wp:positionV>
          <wp:extent cx="812800" cy="1101090"/>
          <wp:effectExtent l="0" t="0" r="0" b="0"/>
          <wp:wrapSquare wrapText="bothSides"/>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812800" cy="1101090"/>
                  </a:xfrm>
                  <a:prstGeom prst="rect">
                    <a:avLst/>
                  </a:prstGeom>
                </pic:spPr>
              </pic:pic>
            </a:graphicData>
          </a:graphic>
        </wp:anchor>
      </w:drawing>
    </w:r>
    <w:r>
      <w:rPr>
        <w:b/>
        <w:sz w:val="40"/>
        <w:u w:val="single"/>
      </w:rPr>
      <w:t>Câmara Municipal de Vereadores</w:t>
    </w:r>
  </w:p>
  <w:p w:rsidR="00D03969" w:rsidRDefault="00276B9C">
    <w:pPr>
      <w:pStyle w:val="Header"/>
      <w:ind w:left="1134" w:right="1134"/>
      <w:jc w:val="center"/>
      <w:rPr>
        <w:sz w:val="28"/>
      </w:rPr>
    </w:pPr>
    <w:r>
      <w:rPr>
        <w:sz w:val="28"/>
      </w:rPr>
      <w:t>Rua: Rui Barbosa, nº 999 – CEP: 96.745-000</w:t>
    </w:r>
  </w:p>
  <w:p w:rsidR="00D03969" w:rsidRDefault="00276B9C">
    <w:pPr>
      <w:pStyle w:val="Header"/>
      <w:jc w:val="center"/>
      <w:rPr>
        <w:sz w:val="28"/>
      </w:rPr>
    </w:pPr>
    <w:r>
      <w:rPr>
        <w:sz w:val="28"/>
      </w:rPr>
      <w:t>Charqueadas/RS – Fone: (0**51)3658-1711</w:t>
    </w:r>
  </w:p>
  <w:p w:rsidR="00D03969" w:rsidRDefault="00276B9C">
    <w:pPr>
      <w:pStyle w:val="Header"/>
      <w:jc w:val="center"/>
      <w:rPr>
        <w:b/>
        <w:sz w:val="28"/>
      </w:rPr>
    </w:pPr>
    <w:r>
      <w:rPr>
        <w:b/>
        <w:sz w:val="28"/>
      </w:rPr>
      <w:t>Vereador Rafael Divino</w:t>
    </w:r>
  </w:p>
  <w:p w:rsidR="00D03969" w:rsidRDefault="00D03969">
    <w:pPr>
      <w:pStyle w:val="Header"/>
      <w:rPr>
        <w:b/>
        <w:bCs/>
        <w:sz w:val="28"/>
        <w:szCs w:val="40"/>
      </w:rPr>
    </w:pPr>
  </w:p>
  <w:p w:rsidR="00D03969" w:rsidRDefault="00D039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9"/>
  <w:autoHyphenation/>
  <w:hyphenationZone w:val="425"/>
  <w:characterSpacingControl w:val="doNotCompress"/>
  <w:footnotePr>
    <w:footnote w:id="0"/>
    <w:footnote w:id="1"/>
  </w:footnotePr>
  <w:endnotePr>
    <w:endnote w:id="0"/>
    <w:endnote w:id="1"/>
  </w:endnotePr>
  <w:compat/>
  <w:rsids>
    <w:rsidRoot w:val="00D03969"/>
    <w:rsid w:val="00276B9C"/>
    <w:rsid w:val="00D039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C3"/>
    <w:pPr>
      <w:widowControl w:val="0"/>
    </w:pPr>
    <w:rPr>
      <w:rFonts w:ascii="Times New Roman" w:eastAsia="Lucida Sans Unicode" w:hAnsi="Times New Roman"/>
      <w:kern w:val="2"/>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mEspaamentoChar">
    <w:name w:val="Sem Espaçamento Char"/>
    <w:basedOn w:val="Fontepargpadro"/>
    <w:link w:val="SemEspaamento"/>
    <w:uiPriority w:val="1"/>
    <w:qFormat/>
    <w:rsid w:val="009D0191"/>
    <w:rPr>
      <w:rFonts w:eastAsia="Times New Roman"/>
      <w:sz w:val="22"/>
      <w:szCs w:val="22"/>
      <w:lang w:val="pt-BR" w:eastAsia="en-US" w:bidi="ar-SA"/>
    </w:rPr>
  </w:style>
  <w:style w:type="character" w:customStyle="1" w:styleId="CabealhoChar">
    <w:name w:val="Cabeçalho Char"/>
    <w:basedOn w:val="Fontepargpadro"/>
    <w:link w:val="Header"/>
    <w:qFormat/>
    <w:rsid w:val="009445C3"/>
    <w:rPr>
      <w:rFonts w:ascii="Times New Roman" w:eastAsia="Lucida Sans Unicode" w:hAnsi="Times New Roman" w:cs="Times New Roman"/>
      <w:kern w:val="2"/>
      <w:sz w:val="24"/>
      <w:szCs w:val="24"/>
    </w:rPr>
  </w:style>
  <w:style w:type="character" w:customStyle="1" w:styleId="TextodebaloChar">
    <w:name w:val="Texto de balão Char"/>
    <w:basedOn w:val="Fontepargpadro"/>
    <w:link w:val="Textodebalo"/>
    <w:uiPriority w:val="99"/>
    <w:semiHidden/>
    <w:qFormat/>
    <w:rsid w:val="005B74C9"/>
    <w:rPr>
      <w:rFonts w:ascii="Tahoma" w:eastAsia="Lucida Sans Unicode" w:hAnsi="Tahoma" w:cs="Tahoma"/>
      <w:kern w:val="2"/>
      <w:sz w:val="16"/>
      <w:szCs w:val="16"/>
    </w:rPr>
  </w:style>
  <w:style w:type="character" w:customStyle="1" w:styleId="RodapChar">
    <w:name w:val="Rodapé Char"/>
    <w:basedOn w:val="Fontepargpadro"/>
    <w:link w:val="Footer"/>
    <w:uiPriority w:val="99"/>
    <w:semiHidden/>
    <w:qFormat/>
    <w:rsid w:val="007737FB"/>
    <w:rPr>
      <w:rFonts w:ascii="Times New Roman" w:eastAsia="Lucida Sans Unicode" w:hAnsi="Times New Roman"/>
      <w:kern w:val="2"/>
      <w:sz w:val="24"/>
      <w:szCs w:val="24"/>
      <w:lang w:eastAsia="en-US"/>
    </w:rPr>
  </w:style>
  <w:style w:type="paragraph" w:styleId="Ttulo">
    <w:name w:val="Title"/>
    <w:basedOn w:val="Normal"/>
    <w:next w:val="Corpodetexto"/>
    <w:qFormat/>
    <w:rsid w:val="00D03969"/>
    <w:pPr>
      <w:keepNext/>
      <w:spacing w:before="240" w:after="120"/>
    </w:pPr>
    <w:rPr>
      <w:rFonts w:ascii="Liberation Sans" w:eastAsia="Microsoft YaHei" w:hAnsi="Liberation Sans" w:cs="Lucida Sans"/>
      <w:sz w:val="28"/>
      <w:szCs w:val="28"/>
    </w:rPr>
  </w:style>
  <w:style w:type="paragraph" w:styleId="Corpodetexto">
    <w:name w:val="Body Text"/>
    <w:basedOn w:val="Normal"/>
    <w:rsid w:val="00D03969"/>
    <w:pPr>
      <w:spacing w:after="140" w:line="276" w:lineRule="auto"/>
    </w:pPr>
  </w:style>
  <w:style w:type="paragraph" w:styleId="Lista">
    <w:name w:val="List"/>
    <w:basedOn w:val="Corpodetexto"/>
    <w:rsid w:val="00D03969"/>
    <w:rPr>
      <w:rFonts w:cs="Lucida Sans"/>
    </w:rPr>
  </w:style>
  <w:style w:type="paragraph" w:customStyle="1" w:styleId="Caption">
    <w:name w:val="Caption"/>
    <w:basedOn w:val="Normal"/>
    <w:qFormat/>
    <w:rsid w:val="00D03969"/>
    <w:pPr>
      <w:suppressLineNumbers/>
      <w:spacing w:before="120" w:after="120"/>
    </w:pPr>
    <w:rPr>
      <w:rFonts w:cs="Lucida Sans"/>
      <w:i/>
      <w:iCs/>
    </w:rPr>
  </w:style>
  <w:style w:type="paragraph" w:customStyle="1" w:styleId="ndice">
    <w:name w:val="Índice"/>
    <w:basedOn w:val="Normal"/>
    <w:qFormat/>
    <w:rsid w:val="00D03969"/>
    <w:pPr>
      <w:suppressLineNumbers/>
    </w:pPr>
    <w:rPr>
      <w:rFonts w:cs="Lucida Sans"/>
    </w:rPr>
  </w:style>
  <w:style w:type="paragraph" w:styleId="SemEspaamento">
    <w:name w:val="No Spacing"/>
    <w:link w:val="SemEspaamentoChar"/>
    <w:uiPriority w:val="1"/>
    <w:qFormat/>
    <w:rsid w:val="009D0191"/>
    <w:rPr>
      <w:rFonts w:eastAsia="Times New Roman"/>
      <w:sz w:val="22"/>
      <w:szCs w:val="22"/>
      <w:lang w:eastAsia="en-US"/>
    </w:rPr>
  </w:style>
  <w:style w:type="paragraph" w:customStyle="1" w:styleId="CabealhoeRodap">
    <w:name w:val="Cabeçalho e Rodapé"/>
    <w:basedOn w:val="Normal"/>
    <w:qFormat/>
    <w:rsid w:val="00D03969"/>
  </w:style>
  <w:style w:type="paragraph" w:customStyle="1" w:styleId="Header">
    <w:name w:val="Header"/>
    <w:basedOn w:val="Normal"/>
    <w:link w:val="CabealhoChar"/>
    <w:rsid w:val="009445C3"/>
    <w:pPr>
      <w:tabs>
        <w:tab w:val="center" w:pos="4419"/>
        <w:tab w:val="right" w:pos="8838"/>
      </w:tabs>
    </w:pPr>
  </w:style>
  <w:style w:type="paragraph" w:customStyle="1" w:styleId="Corpodetexto21">
    <w:name w:val="Corpo de texto 21"/>
    <w:basedOn w:val="Normal"/>
    <w:qFormat/>
    <w:rsid w:val="009445C3"/>
    <w:pPr>
      <w:tabs>
        <w:tab w:val="left" w:pos="5812"/>
      </w:tabs>
      <w:jc w:val="both"/>
    </w:pPr>
    <w:rPr>
      <w:sz w:val="32"/>
    </w:rPr>
  </w:style>
  <w:style w:type="paragraph" w:customStyle="1" w:styleId="Corpodetex">
    <w:name w:val="Corpo de tex"/>
    <w:next w:val="Normal"/>
    <w:qFormat/>
    <w:rsid w:val="009445C3"/>
    <w:pPr>
      <w:widowControl w:val="0"/>
      <w:tabs>
        <w:tab w:val="left" w:pos="0"/>
        <w:tab w:val="left" w:pos="5811"/>
        <w:tab w:val="left" w:pos="6372"/>
        <w:tab w:val="left" w:pos="7080"/>
        <w:tab w:val="left" w:pos="7788"/>
        <w:tab w:val="left" w:pos="8496"/>
        <w:tab w:val="left" w:pos="9204"/>
        <w:tab w:val="left" w:pos="9912"/>
      </w:tabs>
      <w:jc w:val="both"/>
    </w:pPr>
    <w:rPr>
      <w:rFonts w:ascii="Times New Roman" w:eastAsia="Lucida Sans Unicode" w:hAnsi="Times New Roman"/>
      <w:kern w:val="2"/>
      <w:sz w:val="32"/>
      <w:szCs w:val="32"/>
      <w:lang w:eastAsia="en-US"/>
    </w:rPr>
  </w:style>
  <w:style w:type="paragraph" w:customStyle="1" w:styleId="Contedodetabela">
    <w:name w:val="Conteúdo de tabela"/>
    <w:basedOn w:val="Normal"/>
    <w:qFormat/>
    <w:rsid w:val="009445C3"/>
    <w:pPr>
      <w:suppressLineNumbers/>
    </w:pPr>
  </w:style>
  <w:style w:type="paragraph" w:styleId="Textodebalo">
    <w:name w:val="Balloon Text"/>
    <w:basedOn w:val="Normal"/>
    <w:link w:val="TextodebaloChar"/>
    <w:uiPriority w:val="99"/>
    <w:semiHidden/>
    <w:unhideWhenUsed/>
    <w:qFormat/>
    <w:rsid w:val="005B74C9"/>
    <w:rPr>
      <w:rFonts w:ascii="Tahoma" w:hAnsi="Tahoma" w:cs="Tahoma"/>
      <w:sz w:val="16"/>
      <w:szCs w:val="16"/>
    </w:rPr>
  </w:style>
  <w:style w:type="paragraph" w:customStyle="1" w:styleId="Footer">
    <w:name w:val="Footer"/>
    <w:basedOn w:val="Normal"/>
    <w:link w:val="RodapChar"/>
    <w:uiPriority w:val="99"/>
    <w:semiHidden/>
    <w:unhideWhenUsed/>
    <w:rsid w:val="007737F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1609</Characters>
  <Application>Microsoft Office Word</Application>
  <DocSecurity>0</DocSecurity>
  <Lines>13</Lines>
  <Paragraphs>3</Paragraphs>
  <ScaleCrop>false</ScaleCrop>
  <Company>*</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Patrícia</dc:creator>
  <cp:lastModifiedBy>secretaria</cp:lastModifiedBy>
  <cp:revision>2</cp:revision>
  <cp:lastPrinted>2019-05-28T12:03:00Z</cp:lastPrinted>
  <dcterms:created xsi:type="dcterms:W3CDTF">2021-12-07T17:33:00Z</dcterms:created>
  <dcterms:modified xsi:type="dcterms:W3CDTF">2021-12-07T17:33:00Z</dcterms:modified>
  <dc:language>pt-BR</dc:language>
</cp:coreProperties>
</file>