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284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129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2C92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C2C92">
              <w:t xml:space="preserve"> </w:t>
            </w:r>
            <w:r w:rsidR="009C2C92" w:rsidRPr="009C2C92">
              <w:rPr>
                <w:rFonts w:ascii="Arial" w:hAnsi="Arial" w:cs="Arial"/>
                <w:b/>
                <w:sz w:val="40"/>
                <w:szCs w:val="40"/>
              </w:rPr>
              <w:t>“Que o Executivo Municipal providencie a criação do Conselho Municipal de Promoção da Igualdade Racial de Charqueadas (COMPIR).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9C2C92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38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4</cp:revision>
  <cp:lastPrinted>2022-06-06T14:44:00Z</cp:lastPrinted>
  <dcterms:created xsi:type="dcterms:W3CDTF">2021-02-17T16:06:00Z</dcterms:created>
  <dcterms:modified xsi:type="dcterms:W3CDTF">2022-06-06T15:03:00Z</dcterms:modified>
</cp:coreProperties>
</file>