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B3DC3">
              <w:rPr>
                <w:rFonts w:ascii="Arial" w:hAnsi="Arial" w:cs="Arial"/>
                <w:b/>
                <w:sz w:val="40"/>
                <w:szCs w:val="44"/>
              </w:rPr>
              <w:t xml:space="preserve"> 357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1A596B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AB3DC3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531CC" w:rsidRPr="00AB3DC3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AB3DC3" w:rsidRPr="00AB3DC3">
              <w:rPr>
                <w:rFonts w:ascii="Arial" w:hAnsi="Arial" w:cs="Arial"/>
                <w:b/>
                <w:sz w:val="40"/>
                <w:szCs w:val="40"/>
              </w:rPr>
              <w:t>“Que o Executivo Municipal inclua na grade curricular das escolas da rede pública municipal a disciplina EDUCAÇÃO NO TRÂNSITO e adicione no calendário escolar as campanhas educativas sobre o trânsito e a prevenção de acidentes.”</w:t>
            </w:r>
          </w:p>
          <w:p w:rsidR="00AB3DC3" w:rsidRPr="008B5AC3" w:rsidRDefault="00AB3DC3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9166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2022-07-18T13:58:00Z</cp:lastPrinted>
  <dcterms:created xsi:type="dcterms:W3CDTF">2022-06-21T17:43:00Z</dcterms:created>
  <dcterms:modified xsi:type="dcterms:W3CDTF">2022-07-18T13:58:00Z</dcterms:modified>
</cp:coreProperties>
</file>