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0418FA">
              <w:rPr>
                <w:rFonts w:ascii="Arial" w:hAnsi="Arial" w:cs="Arial"/>
                <w:b/>
                <w:sz w:val="40"/>
                <w:szCs w:val="44"/>
              </w:rPr>
              <w:t xml:space="preserve"> 569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C118B">
              <w:rPr>
                <w:rFonts w:ascii="Arial" w:hAnsi="Arial" w:cs="Arial"/>
                <w:b/>
                <w:sz w:val="40"/>
                <w:szCs w:val="44"/>
              </w:rPr>
              <w:t>23</w:t>
            </w:r>
            <w:r w:rsidR="000418FA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0418FA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0418FA" w:rsidRPr="000418FA">
              <w:rPr>
                <w:rFonts w:ascii="Arial" w:hAnsi="Arial" w:cs="Arial"/>
                <w:b/>
                <w:sz w:val="40"/>
                <w:szCs w:val="40"/>
              </w:rPr>
              <w:t>“Que o Executivo Municipal destine e faça a cessão de uma área para a construção do prédio da Defensoria Pública.”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953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58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2022-10-17T14:42:00Z</cp:lastPrinted>
  <dcterms:created xsi:type="dcterms:W3CDTF">2022-08-01T14:47:00Z</dcterms:created>
  <dcterms:modified xsi:type="dcterms:W3CDTF">2022-10-17T14:42:00Z</dcterms:modified>
</cp:coreProperties>
</file>