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C11C3">
              <w:rPr>
                <w:rFonts w:ascii="Arial" w:hAnsi="Arial" w:cs="Arial"/>
                <w:b/>
                <w:sz w:val="40"/>
                <w:szCs w:val="44"/>
              </w:rPr>
              <w:t xml:space="preserve"> 622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C11C3">
              <w:rPr>
                <w:rFonts w:ascii="Arial" w:hAnsi="Arial" w:cs="Arial"/>
                <w:b/>
                <w:sz w:val="40"/>
                <w:szCs w:val="44"/>
              </w:rPr>
              <w:t>271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8C11C3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8C11C3" w:rsidRPr="008C11C3">
              <w:rPr>
                <w:rFonts w:ascii="Arial" w:hAnsi="Arial" w:cs="Arial"/>
                <w:b/>
                <w:sz w:val="40"/>
                <w:szCs w:val="40"/>
              </w:rPr>
              <w:t>"Que o Executivo Municipal disponibilize cadeiras de rodas e macas dimensionadas para o atendimento de pessoas obesas nas unidades básicas, bem como nos demais equipamentos da secretaria municipal de saúde."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8002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19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027E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1C3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28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2022-11-07T15:20:00Z</cp:lastPrinted>
  <dcterms:created xsi:type="dcterms:W3CDTF">2022-08-01T14:47:00Z</dcterms:created>
  <dcterms:modified xsi:type="dcterms:W3CDTF">2022-11-07T15:21:00Z</dcterms:modified>
</cp:coreProperties>
</file>