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5F7F39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69</w:t>
            </w:r>
            <w:r w:rsidR="005F7F39" w:rsidRPr="005F7F39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8184B" w:rsidRPr="005F7F39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5F7F39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5F7F39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5F7F39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5F7F39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5F7F39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5F7F39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5F7F39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5F7F39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5F7F39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F7F39" w:rsidRPr="005F7F39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5F7F39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5F7F39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5F7F39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414C4" w:rsidRPr="005F7F39">
              <w:rPr>
                <w:rFonts w:ascii="Arial" w:hAnsi="Arial" w:cs="Arial"/>
                <w:b/>
                <w:sz w:val="40"/>
                <w:szCs w:val="40"/>
              </w:rPr>
              <w:t>Representação Partidária PT</w:t>
            </w:r>
          </w:p>
          <w:p w:rsidR="00A365D3" w:rsidRPr="005F7F39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63B8A" w:rsidRPr="00C63B8A" w:rsidRDefault="00D516AB" w:rsidP="001D28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5F7F39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“Que</w:t>
            </w:r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 xml:space="preserve"> Executivo Municipal, através do órgão competente, 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 xml:space="preserve">nforme sobre a análise das condições da água para </w:t>
            </w:r>
            <w:proofErr w:type="spellStart"/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>balneabilidade</w:t>
            </w:r>
            <w:proofErr w:type="spellEnd"/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 xml:space="preserve"> da ‘</w:t>
            </w:r>
            <w:proofErr w:type="spellStart"/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>Prainha</w:t>
            </w:r>
            <w:proofErr w:type="spellEnd"/>
            <w:r w:rsidR="001D2878" w:rsidRPr="001D2878">
              <w:rPr>
                <w:rFonts w:ascii="Arial" w:hAnsi="Arial" w:cs="Arial"/>
                <w:b/>
                <w:sz w:val="40"/>
                <w:szCs w:val="40"/>
              </w:rPr>
              <w:t xml:space="preserve"> da Colônia’ e das ‘Pedrinhas’, segundo o parecer da FEPAM.</w:t>
            </w:r>
            <w:r w:rsidR="001D287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EC6F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287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388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C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5F7F3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5147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C6F75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2022-12-12T15:13:00Z</cp:lastPrinted>
  <dcterms:created xsi:type="dcterms:W3CDTF">2021-02-17T15:59:00Z</dcterms:created>
  <dcterms:modified xsi:type="dcterms:W3CDTF">2022-12-12T15:14:00Z</dcterms:modified>
</cp:coreProperties>
</file>