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67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eadores João Carlos Silva Caldeira Filho e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35B1F" w:rsidRPr="00435B1F" w:rsidRDefault="00140EE3" w:rsidP="00435B1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35B1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Municipal, </w:t>
            </w:r>
            <w:r w:rsidR="00804E15" w:rsidRPr="00804E15">
              <w:rPr>
                <w:rFonts w:ascii="Arial" w:hAnsi="Arial" w:cs="Arial"/>
                <w:b/>
                <w:sz w:val="40"/>
                <w:szCs w:val="40"/>
              </w:rPr>
              <w:t>atra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vés dos órgãos responsáveis, </w:t>
            </w:r>
            <w:r w:rsidR="00804E15" w:rsidRPr="00804E15">
              <w:rPr>
                <w:rFonts w:ascii="Arial" w:hAnsi="Arial" w:cs="Arial"/>
                <w:b/>
                <w:sz w:val="40"/>
                <w:szCs w:val="40"/>
              </w:rPr>
              <w:t>crie o cargo de Monitor de Inclusão no quadro de cargos de provimento efetivo do Município de Charqueadas.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471273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731B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1BDF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53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2023-02-22T17:54:00Z</cp:lastPrinted>
  <dcterms:created xsi:type="dcterms:W3CDTF">2021-02-08T14:24:00Z</dcterms:created>
  <dcterms:modified xsi:type="dcterms:W3CDTF">2023-02-22T17:55:00Z</dcterms:modified>
</cp:coreProperties>
</file>