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726CA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26CA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726CAA" w:rsidRPr="00726CAA">
              <w:rPr>
                <w:rFonts w:ascii="Arial" w:hAnsi="Arial" w:cs="Arial"/>
                <w:b/>
                <w:sz w:val="44"/>
                <w:szCs w:val="44"/>
              </w:rPr>
              <w:t xml:space="preserve"> 555</w:t>
            </w:r>
            <w:r w:rsidR="00AD13E9" w:rsidRPr="00726CA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726CA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26CA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26CA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26CA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726CAA">
              <w:rPr>
                <w:rFonts w:ascii="Arial" w:hAnsi="Arial" w:cs="Arial"/>
                <w:b/>
                <w:sz w:val="44"/>
                <w:szCs w:val="44"/>
              </w:rPr>
              <w:t>:</w:t>
            </w:r>
            <w:bookmarkStart w:id="0" w:name="_GoBack"/>
            <w:bookmarkEnd w:id="0"/>
            <w:r w:rsidR="008124B4" w:rsidRPr="00726CAA">
              <w:rPr>
                <w:rFonts w:ascii="Arial" w:hAnsi="Arial" w:cs="Arial"/>
                <w:b/>
                <w:sz w:val="44"/>
                <w:szCs w:val="44"/>
              </w:rPr>
              <w:t xml:space="preserve"> Informação nº 05</w:t>
            </w:r>
            <w:r w:rsidR="00726CAA" w:rsidRPr="00726CAA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9A0308" w:rsidRPr="00726CA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726CA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726CA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B3334" w:rsidRDefault="00773469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26CAA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0649B2" w:rsidRPr="00726CA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26CAA" w:rsidRPr="009611B3">
              <w:rPr>
                <w:rFonts w:ascii="Arial" w:hAnsi="Arial" w:cs="Arial"/>
                <w:b/>
                <w:sz w:val="44"/>
                <w:szCs w:val="44"/>
              </w:rPr>
              <w:t>Representação Partidária Do PT</w:t>
            </w:r>
          </w:p>
          <w:p w:rsidR="00726CAA" w:rsidRPr="000B3334" w:rsidRDefault="00726CAA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726CAA" w:rsidRPr="00726CAA" w:rsidRDefault="00021869" w:rsidP="00726CAA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726CA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726CA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26CA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26CAA" w:rsidRPr="00726CAA">
              <w:rPr>
                <w:rFonts w:ascii="Arial" w:hAnsi="Arial" w:cs="Arial"/>
                <w:b/>
                <w:sz w:val="44"/>
                <w:szCs w:val="44"/>
              </w:rPr>
              <w:t>“Que a Secretaria Municipal da Cultura, informe sobre o processo de abertura do edital municipal da Lei Paulo Gustavo. Tendo em vista que o prazo está se esgotando e já se passaram mais de 30 dias da audiência Pública, que subsidiou a elaboração do referido edital.”</w:t>
            </w:r>
          </w:p>
          <w:p w:rsidR="000B3334" w:rsidRPr="008124B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8124B4" w:rsidRPr="00ED6BDA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E53E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433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26CAA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24B4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53EA7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110</TotalTime>
  <Pages>1</Pages>
  <Words>64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2023-10-02T17:07:00Z</cp:lastPrinted>
  <dcterms:created xsi:type="dcterms:W3CDTF">2021-08-02T15:24:00Z</dcterms:created>
  <dcterms:modified xsi:type="dcterms:W3CDTF">2023-10-02T17:07:00Z</dcterms:modified>
</cp:coreProperties>
</file>